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46C7" w:rsidRDefault="00DF46C7" w:rsidP="00C75977">
      <w:pPr>
        <w:autoSpaceDE w:val="0"/>
        <w:autoSpaceDN w:val="0"/>
        <w:adjustRightInd w:val="0"/>
        <w:spacing w:after="0" w:line="240" w:lineRule="auto"/>
        <w:jc w:val="both"/>
        <w:rPr>
          <w:rFonts w:ascii="Times New Roman" w:hAnsi="Times New Roman" w:cs="Times New Roman"/>
          <w:b/>
          <w:bCs/>
          <w:i/>
          <w:iCs/>
          <w:sz w:val="28"/>
          <w:szCs w:val="28"/>
          <w:lang w:eastAsia="cs-CZ"/>
        </w:rPr>
      </w:pPr>
      <w:r>
        <w:rPr>
          <w:rFonts w:ascii="Times New Roman" w:hAnsi="Times New Roman" w:cs="Times New Roman"/>
          <w:b/>
          <w:bCs/>
          <w:i/>
          <w:iCs/>
          <w:sz w:val="28"/>
          <w:szCs w:val="28"/>
          <w:lang w:eastAsia="cs-CZ"/>
        </w:rPr>
        <w:t>Seznam zakázaných látek a metod pro rok 2015</w:t>
      </w:r>
    </w:p>
    <w:p w:rsidR="00DF46C7" w:rsidRDefault="00DF46C7" w:rsidP="00C75977">
      <w:pPr>
        <w:autoSpaceDE w:val="0"/>
        <w:autoSpaceDN w:val="0"/>
        <w:adjustRightInd w:val="0"/>
        <w:spacing w:after="0" w:line="240" w:lineRule="auto"/>
        <w:jc w:val="both"/>
        <w:rPr>
          <w:rFonts w:ascii="Times New Roman" w:hAnsi="Times New Roman" w:cs="Times New Roman"/>
          <w:b/>
          <w:bCs/>
          <w:i/>
          <w:iCs/>
          <w:sz w:val="28"/>
          <w:szCs w:val="28"/>
          <w:lang w:eastAsia="cs-CZ"/>
        </w:rPr>
      </w:pPr>
    </w:p>
    <w:p w:rsidR="00DF46C7" w:rsidRDefault="00DF46C7" w:rsidP="00C75977">
      <w:pPr>
        <w:autoSpaceDE w:val="0"/>
        <w:autoSpaceDN w:val="0"/>
        <w:adjustRightInd w:val="0"/>
        <w:spacing w:after="0" w:line="240" w:lineRule="auto"/>
        <w:jc w:val="both"/>
        <w:rPr>
          <w:rFonts w:ascii="Times New Roman" w:hAnsi="Times New Roman" w:cs="Times New Roman"/>
          <w:b/>
          <w:bCs/>
          <w:i/>
          <w:iCs/>
          <w:sz w:val="24"/>
          <w:szCs w:val="24"/>
          <w:lang w:eastAsia="cs-CZ"/>
        </w:rPr>
      </w:pPr>
      <w:r>
        <w:rPr>
          <w:rFonts w:ascii="Times New Roman" w:hAnsi="Times New Roman" w:cs="Times New Roman"/>
          <w:b/>
          <w:bCs/>
          <w:i/>
          <w:iCs/>
          <w:sz w:val="24"/>
          <w:szCs w:val="24"/>
          <w:lang w:eastAsia="cs-CZ"/>
        </w:rPr>
        <w:t xml:space="preserve">Souhrn hlavních změn a vysvětlivky </w:t>
      </w:r>
    </w:p>
    <w:p w:rsidR="00DF46C7" w:rsidRDefault="00DF46C7" w:rsidP="00C75977">
      <w:pPr>
        <w:autoSpaceDE w:val="0"/>
        <w:autoSpaceDN w:val="0"/>
        <w:adjustRightInd w:val="0"/>
        <w:spacing w:after="0" w:line="240" w:lineRule="auto"/>
        <w:jc w:val="both"/>
        <w:rPr>
          <w:rFonts w:ascii="Times New Roman" w:hAnsi="Times New Roman" w:cs="Times New Roman"/>
          <w:b/>
          <w:bCs/>
          <w:i/>
          <w:iCs/>
          <w:sz w:val="24"/>
          <w:szCs w:val="24"/>
          <w:lang w:eastAsia="cs-CZ"/>
        </w:rPr>
      </w:pPr>
    </w:p>
    <w:p w:rsidR="00DF46C7" w:rsidRDefault="00DF46C7" w:rsidP="00C75977">
      <w:pPr>
        <w:autoSpaceDE w:val="0"/>
        <w:autoSpaceDN w:val="0"/>
        <w:adjustRightInd w:val="0"/>
        <w:spacing w:after="0" w:line="240" w:lineRule="auto"/>
        <w:jc w:val="both"/>
        <w:rPr>
          <w:rFonts w:ascii="Times New Roman" w:hAnsi="Times New Roman" w:cs="Times New Roman"/>
          <w:b/>
          <w:bCs/>
          <w:sz w:val="24"/>
          <w:szCs w:val="24"/>
          <w:lang w:eastAsia="cs-CZ"/>
        </w:rPr>
      </w:pPr>
      <w:r>
        <w:rPr>
          <w:rFonts w:ascii="Times New Roman" w:hAnsi="Times New Roman" w:cs="Times New Roman"/>
          <w:b/>
          <w:bCs/>
          <w:sz w:val="24"/>
          <w:szCs w:val="24"/>
          <w:lang w:eastAsia="cs-CZ"/>
        </w:rPr>
        <w:t xml:space="preserve">LÁTKY A METODY ZAKÁZÁNÉ STÁLE (PŘI SOUTĚŽI  I MIMO SOUTĚŽ) </w:t>
      </w:r>
    </w:p>
    <w:p w:rsidR="00DF46C7" w:rsidRDefault="00DF46C7" w:rsidP="00C75977">
      <w:pPr>
        <w:pStyle w:val="Default"/>
        <w:jc w:val="both"/>
        <w:rPr>
          <w:rFonts w:ascii="Times New Roman" w:hAnsi="Times New Roman" w:cs="Times New Roman"/>
          <w:b/>
          <w:bCs/>
          <w:color w:val="auto"/>
          <w:sz w:val="22"/>
          <w:szCs w:val="22"/>
          <w:lang w:eastAsia="cs-CZ"/>
        </w:rPr>
      </w:pPr>
    </w:p>
    <w:p w:rsidR="00DF46C7" w:rsidRDefault="00DF46C7" w:rsidP="00C75977">
      <w:pPr>
        <w:pStyle w:val="Default"/>
        <w:jc w:val="both"/>
        <w:rPr>
          <w:rFonts w:ascii="Times New Roman" w:hAnsi="Times New Roman" w:cs="Times New Roman"/>
          <w:b/>
          <w:bCs/>
          <w:color w:val="auto"/>
          <w:sz w:val="22"/>
          <w:szCs w:val="22"/>
          <w:lang w:eastAsia="cs-CZ"/>
        </w:rPr>
      </w:pPr>
      <w:r>
        <w:rPr>
          <w:rFonts w:ascii="Times New Roman" w:hAnsi="Times New Roman" w:cs="Times New Roman"/>
          <w:b/>
          <w:bCs/>
          <w:color w:val="auto"/>
          <w:sz w:val="22"/>
          <w:szCs w:val="22"/>
          <w:lang w:eastAsia="cs-CZ"/>
        </w:rPr>
        <w:t xml:space="preserve">ZAKÁZANÉ LÁTKY </w:t>
      </w:r>
    </w:p>
    <w:p w:rsidR="00DF46C7" w:rsidRDefault="00DF46C7" w:rsidP="00C75977">
      <w:pPr>
        <w:autoSpaceDE w:val="0"/>
        <w:autoSpaceDN w:val="0"/>
        <w:spacing w:after="0" w:line="240" w:lineRule="auto"/>
        <w:rPr>
          <w:rFonts w:ascii="Verdana" w:hAnsi="Verdana" w:cs="Verdana"/>
          <w:color w:val="000000"/>
          <w:lang w:eastAsia="cs-CZ"/>
        </w:rPr>
      </w:pPr>
    </w:p>
    <w:p w:rsidR="00DF46C7" w:rsidRDefault="00DF46C7" w:rsidP="00C75977">
      <w:pPr>
        <w:pStyle w:val="Default"/>
        <w:jc w:val="both"/>
        <w:rPr>
          <w:rFonts w:ascii="Times New Roman" w:hAnsi="Times New Roman" w:cs="Times New Roman"/>
          <w:b/>
          <w:bCs/>
          <w:color w:val="auto"/>
          <w:u w:val="single"/>
          <w:lang w:eastAsia="cs-CZ"/>
        </w:rPr>
      </w:pPr>
      <w:r>
        <w:rPr>
          <w:rFonts w:ascii="Times New Roman" w:hAnsi="Times New Roman" w:cs="Times New Roman"/>
          <w:b/>
          <w:bCs/>
          <w:color w:val="auto"/>
          <w:u w:val="single"/>
          <w:lang w:eastAsia="cs-CZ"/>
        </w:rPr>
        <w:t>S1. Anabolické látky</w:t>
      </w:r>
    </w:p>
    <w:p w:rsidR="00DF46C7" w:rsidRDefault="00DF46C7" w:rsidP="00C75977">
      <w:pPr>
        <w:pStyle w:val="Default"/>
        <w:jc w:val="both"/>
        <w:rPr>
          <w:rFonts w:ascii="Times New Roman" w:hAnsi="Times New Roman" w:cs="Times New Roman"/>
          <w:b/>
          <w:bCs/>
          <w:color w:val="auto"/>
          <w:u w:val="single"/>
          <w:lang w:eastAsia="cs-CZ"/>
        </w:rPr>
      </w:pPr>
    </w:p>
    <w:p w:rsidR="00DF46C7" w:rsidRDefault="00DF46C7" w:rsidP="00C75977">
      <w:pPr>
        <w:autoSpaceDE w:val="0"/>
        <w:autoSpaceDN w:val="0"/>
        <w:adjustRightInd w:val="0"/>
        <w:spacing w:after="0" w:line="240" w:lineRule="auto"/>
        <w:jc w:val="both"/>
        <w:rPr>
          <w:rFonts w:ascii="Times New Roman" w:hAnsi="Times New Roman" w:cs="Times New Roman"/>
          <w:sz w:val="24"/>
          <w:szCs w:val="24"/>
          <w:lang w:eastAsia="cs-CZ"/>
        </w:rPr>
      </w:pPr>
      <w:r>
        <w:rPr>
          <w:rFonts w:ascii="Times New Roman" w:hAnsi="Times New Roman" w:cs="Times New Roman"/>
          <w:sz w:val="24"/>
          <w:szCs w:val="24"/>
          <w:lang w:eastAsia="cs-CZ"/>
        </w:rPr>
        <w:sym w:font="Symbol" w:char="F0B7"/>
      </w:r>
      <w:r>
        <w:rPr>
          <w:rFonts w:ascii="Times New Roman" w:hAnsi="Times New Roman" w:cs="Times New Roman"/>
          <w:sz w:val="24"/>
          <w:szCs w:val="24"/>
          <w:lang w:eastAsia="cs-CZ"/>
        </w:rPr>
        <w:t xml:space="preserve"> Změny byly provedeny, aby vyjadřovaly platné názvosloví. </w:t>
      </w:r>
    </w:p>
    <w:p w:rsidR="00DF46C7" w:rsidRDefault="00DF46C7" w:rsidP="00C75977">
      <w:pPr>
        <w:pStyle w:val="Default"/>
        <w:rPr>
          <w:rFonts w:ascii="Times New Roman" w:hAnsi="Times New Roman" w:cs="Times New Roman"/>
          <w:color w:val="auto"/>
          <w:lang w:eastAsia="cs-CZ"/>
        </w:rPr>
      </w:pPr>
      <w:r>
        <w:rPr>
          <w:rFonts w:ascii="Times New Roman" w:hAnsi="Times New Roman" w:cs="Times New Roman"/>
          <w:color w:val="auto"/>
          <w:lang w:eastAsia="cs-CZ"/>
        </w:rPr>
        <w:sym w:font="Symbol" w:char="F0B7"/>
      </w:r>
      <w:r>
        <w:rPr>
          <w:rFonts w:ascii="Times New Roman" w:hAnsi="Times New Roman" w:cs="Times New Roman"/>
          <w:color w:val="auto"/>
          <w:lang w:eastAsia="cs-CZ"/>
        </w:rPr>
        <w:t xml:space="preserve"> 5β-androstan-3α,17β-diol byl přidán mezi příklady metabolitů testosteronu.</w:t>
      </w:r>
    </w:p>
    <w:p w:rsidR="00DF46C7" w:rsidRDefault="00DF46C7" w:rsidP="00C75977">
      <w:pPr>
        <w:autoSpaceDE w:val="0"/>
        <w:autoSpaceDN w:val="0"/>
        <w:spacing w:after="0" w:line="240" w:lineRule="auto"/>
        <w:rPr>
          <w:rFonts w:ascii="Verdana" w:hAnsi="Verdana" w:cs="Verdana"/>
          <w:color w:val="000000"/>
          <w:sz w:val="24"/>
          <w:szCs w:val="24"/>
          <w:lang w:eastAsia="cs-CZ"/>
        </w:rPr>
      </w:pPr>
      <w:r>
        <w:rPr>
          <w:rFonts w:ascii="Verdana" w:hAnsi="Verdana" w:cs="Verdana"/>
          <w:color w:val="000000"/>
          <w:lang w:eastAsia="cs-CZ"/>
        </w:rPr>
        <w:t> </w:t>
      </w:r>
    </w:p>
    <w:p w:rsidR="00DF46C7" w:rsidRDefault="00DF46C7" w:rsidP="00C75977">
      <w:pPr>
        <w:pStyle w:val="Default"/>
        <w:jc w:val="both"/>
        <w:rPr>
          <w:rFonts w:ascii="Times New Roman" w:hAnsi="Times New Roman" w:cs="Times New Roman"/>
          <w:b/>
          <w:bCs/>
          <w:color w:val="auto"/>
          <w:u w:val="single"/>
          <w:lang w:eastAsia="cs-CZ"/>
        </w:rPr>
      </w:pPr>
      <w:r>
        <w:rPr>
          <w:rFonts w:ascii="Times New Roman" w:hAnsi="Times New Roman" w:cs="Times New Roman"/>
          <w:b/>
          <w:bCs/>
          <w:color w:val="auto"/>
          <w:u w:val="single"/>
          <w:lang w:eastAsia="cs-CZ"/>
        </w:rPr>
        <w:t>S2. Peptidové hormony, růstové faktory, příbuzné látky a mimetika</w:t>
      </w:r>
    </w:p>
    <w:p w:rsidR="00DF46C7" w:rsidRDefault="00DF46C7" w:rsidP="00C75977">
      <w:pPr>
        <w:pStyle w:val="Default"/>
        <w:jc w:val="both"/>
        <w:rPr>
          <w:rFonts w:ascii="Times New Roman" w:hAnsi="Times New Roman" w:cs="Times New Roman"/>
          <w:b/>
          <w:bCs/>
          <w:color w:val="auto"/>
          <w:u w:val="single"/>
          <w:lang w:eastAsia="cs-CZ"/>
        </w:rPr>
      </w:pPr>
    </w:p>
    <w:p w:rsidR="00DF46C7" w:rsidRDefault="00DF46C7" w:rsidP="00C75977">
      <w:pPr>
        <w:autoSpaceDE w:val="0"/>
        <w:autoSpaceDN w:val="0"/>
        <w:adjustRightInd w:val="0"/>
        <w:spacing w:after="0" w:line="240" w:lineRule="auto"/>
        <w:jc w:val="both"/>
        <w:rPr>
          <w:rFonts w:ascii="Times New Roman" w:hAnsi="Times New Roman" w:cs="Times New Roman"/>
          <w:sz w:val="24"/>
          <w:szCs w:val="24"/>
          <w:lang w:eastAsia="cs-CZ"/>
        </w:rPr>
      </w:pPr>
      <w:r>
        <w:rPr>
          <w:rFonts w:ascii="Times New Roman" w:hAnsi="Times New Roman" w:cs="Times New Roman"/>
          <w:sz w:val="24"/>
          <w:szCs w:val="24"/>
          <w:lang w:eastAsia="cs-CZ"/>
        </w:rPr>
        <w:sym w:font="Symbol" w:char="F0B7"/>
      </w:r>
      <w:r>
        <w:rPr>
          <w:rFonts w:ascii="Times New Roman" w:hAnsi="Times New Roman" w:cs="Times New Roman"/>
          <w:sz w:val="24"/>
          <w:szCs w:val="24"/>
          <w:lang w:eastAsia="cs-CZ"/>
        </w:rPr>
        <w:t xml:space="preserve"> Změnil se název této sekce: Byla přidána mimetika s ohledem na skutečnost, že do této části syntetické analogy též spadají.</w:t>
      </w:r>
    </w:p>
    <w:p w:rsidR="00DF46C7" w:rsidRDefault="00DF46C7" w:rsidP="00C75977">
      <w:pPr>
        <w:autoSpaceDE w:val="0"/>
        <w:autoSpaceDN w:val="0"/>
        <w:adjustRightInd w:val="0"/>
        <w:spacing w:after="0" w:line="240" w:lineRule="auto"/>
        <w:jc w:val="both"/>
        <w:rPr>
          <w:rFonts w:ascii="Times New Roman" w:hAnsi="Times New Roman" w:cs="Times New Roman"/>
          <w:sz w:val="24"/>
          <w:szCs w:val="24"/>
          <w:lang w:eastAsia="cs-CZ"/>
        </w:rPr>
      </w:pPr>
      <w:r>
        <w:rPr>
          <w:rFonts w:ascii="Times New Roman" w:hAnsi="Times New Roman" w:cs="Times New Roman"/>
          <w:sz w:val="24"/>
          <w:szCs w:val="24"/>
          <w:lang w:eastAsia="cs-CZ"/>
        </w:rPr>
        <w:sym w:font="Symbol" w:char="F0B7"/>
      </w:r>
      <w:r>
        <w:rPr>
          <w:rFonts w:ascii="Times New Roman" w:hAnsi="Times New Roman" w:cs="Times New Roman"/>
          <w:sz w:val="24"/>
          <w:szCs w:val="24"/>
          <w:lang w:eastAsia="cs-CZ"/>
        </w:rPr>
        <w:t xml:space="preserve"> Upozorňuje se, že všechny látky, uvedené  jako příklady v této revidované části seznamu zakázaných látek pro rok 2015, byly již zakázané v předchozím platném seznamu. </w:t>
      </w:r>
    </w:p>
    <w:p w:rsidR="00DF46C7" w:rsidRDefault="00DF46C7" w:rsidP="00C75977">
      <w:pPr>
        <w:autoSpaceDE w:val="0"/>
        <w:autoSpaceDN w:val="0"/>
        <w:adjustRightInd w:val="0"/>
        <w:spacing w:after="0" w:line="240" w:lineRule="auto"/>
        <w:jc w:val="both"/>
        <w:rPr>
          <w:rFonts w:ascii="Times New Roman" w:hAnsi="Times New Roman" w:cs="Times New Roman"/>
          <w:sz w:val="24"/>
          <w:szCs w:val="24"/>
          <w:lang w:eastAsia="cs-CZ"/>
        </w:rPr>
      </w:pPr>
      <w:r>
        <w:rPr>
          <w:rFonts w:ascii="Times New Roman" w:hAnsi="Times New Roman" w:cs="Times New Roman"/>
          <w:sz w:val="24"/>
          <w:szCs w:val="24"/>
          <w:lang w:eastAsia="cs-CZ"/>
        </w:rPr>
        <w:sym w:font="Symbol" w:char="F0B7"/>
      </w:r>
      <w:r>
        <w:rPr>
          <w:rFonts w:ascii="Times New Roman" w:hAnsi="Times New Roman" w:cs="Times New Roman"/>
          <w:sz w:val="24"/>
          <w:szCs w:val="24"/>
          <w:lang w:eastAsia="cs-CZ"/>
        </w:rPr>
        <w:t xml:space="preserve"> ESA(prostředky stimulující erytropoézu) sub-sekce byla rozšířena o ne-erytropoietické agonisty EPO-receptorů.</w:t>
      </w:r>
    </w:p>
    <w:p w:rsidR="00DF46C7" w:rsidRDefault="00DF46C7" w:rsidP="00C75977">
      <w:pPr>
        <w:autoSpaceDE w:val="0"/>
        <w:autoSpaceDN w:val="0"/>
        <w:adjustRightInd w:val="0"/>
        <w:spacing w:after="0" w:line="240" w:lineRule="auto"/>
        <w:jc w:val="both"/>
        <w:rPr>
          <w:rFonts w:ascii="Times New Roman" w:hAnsi="Times New Roman" w:cs="Times New Roman"/>
          <w:sz w:val="24"/>
          <w:szCs w:val="24"/>
          <w:lang w:eastAsia="cs-CZ"/>
        </w:rPr>
      </w:pPr>
      <w:r>
        <w:rPr>
          <w:rFonts w:ascii="Times New Roman" w:hAnsi="Times New Roman" w:cs="Times New Roman"/>
          <w:sz w:val="24"/>
          <w:szCs w:val="24"/>
          <w:lang w:eastAsia="cs-CZ"/>
        </w:rPr>
        <w:sym w:font="Symbol" w:char="F0B7"/>
      </w:r>
      <w:r>
        <w:rPr>
          <w:rFonts w:ascii="Times New Roman" w:hAnsi="Times New Roman" w:cs="Times New Roman"/>
          <w:sz w:val="24"/>
          <w:szCs w:val="24"/>
          <w:lang w:eastAsia="cs-CZ"/>
        </w:rPr>
        <w:t xml:space="preserve"> Navíc pro subsekci obsahující stabilizátory HIF(hypoxii vyvolávající faktory) byl vytvořen samostatný odstavec, který zdůrazní rostoucí význam těchto léků a specificky  identifikuje HIF aktivátory xenonu a argonu. Za zmínku stojí, že kyanokobalamin (vitamin B12) není zakázán.</w:t>
      </w:r>
    </w:p>
    <w:p w:rsidR="00DF46C7" w:rsidRDefault="00DF46C7" w:rsidP="00C75977">
      <w:pPr>
        <w:autoSpaceDE w:val="0"/>
        <w:autoSpaceDN w:val="0"/>
        <w:adjustRightInd w:val="0"/>
        <w:spacing w:after="0" w:line="240" w:lineRule="auto"/>
        <w:jc w:val="both"/>
        <w:rPr>
          <w:rFonts w:ascii="Times New Roman" w:hAnsi="Times New Roman" w:cs="Times New Roman"/>
          <w:sz w:val="24"/>
          <w:szCs w:val="24"/>
          <w:lang w:eastAsia="cs-CZ"/>
        </w:rPr>
      </w:pPr>
      <w:r>
        <w:rPr>
          <w:rFonts w:ascii="Times New Roman" w:hAnsi="Times New Roman" w:cs="Times New Roman"/>
          <w:sz w:val="24"/>
          <w:szCs w:val="24"/>
          <w:lang w:eastAsia="cs-CZ"/>
        </w:rPr>
        <w:sym w:font="Symbol" w:char="F0B7"/>
      </w:r>
      <w:r>
        <w:rPr>
          <w:rFonts w:ascii="Times New Roman" w:hAnsi="Times New Roman" w:cs="Times New Roman"/>
          <w:sz w:val="24"/>
          <w:szCs w:val="24"/>
          <w:lang w:eastAsia="cs-CZ"/>
        </w:rPr>
        <w:t xml:space="preserve"> Byly nyní stanoveny příklady uvolňujících faktorů choriových gonadotropinů (CG) a luteinizačního hormonu (LH). </w:t>
      </w:r>
    </w:p>
    <w:p w:rsidR="00DF46C7" w:rsidRDefault="00DF46C7" w:rsidP="00C75977">
      <w:pPr>
        <w:autoSpaceDE w:val="0"/>
        <w:autoSpaceDN w:val="0"/>
        <w:adjustRightInd w:val="0"/>
        <w:spacing w:after="0" w:line="240" w:lineRule="auto"/>
        <w:jc w:val="both"/>
        <w:rPr>
          <w:rFonts w:ascii="Times New Roman" w:hAnsi="Times New Roman" w:cs="Times New Roman"/>
          <w:sz w:val="24"/>
          <w:szCs w:val="24"/>
          <w:lang w:eastAsia="cs-CZ"/>
        </w:rPr>
      </w:pPr>
      <w:r>
        <w:rPr>
          <w:rFonts w:ascii="Times New Roman" w:hAnsi="Times New Roman" w:cs="Times New Roman"/>
          <w:sz w:val="24"/>
          <w:szCs w:val="24"/>
          <w:lang w:eastAsia="cs-CZ"/>
        </w:rPr>
        <w:sym w:font="Symbol" w:char="F0B7"/>
      </w:r>
      <w:r>
        <w:rPr>
          <w:rFonts w:ascii="Times New Roman" w:hAnsi="Times New Roman" w:cs="Times New Roman"/>
          <w:sz w:val="24"/>
          <w:szCs w:val="24"/>
          <w:lang w:eastAsia="cs-CZ"/>
        </w:rPr>
        <w:t xml:space="preserve"> Jako příklad byl přidán uvolňující faktor Kortikotrofinu. </w:t>
      </w:r>
    </w:p>
    <w:p w:rsidR="00DF46C7" w:rsidRDefault="00DF46C7" w:rsidP="00C75977">
      <w:pPr>
        <w:autoSpaceDE w:val="0"/>
        <w:autoSpaceDN w:val="0"/>
        <w:adjustRightInd w:val="0"/>
        <w:spacing w:after="0" w:line="240" w:lineRule="auto"/>
        <w:jc w:val="both"/>
        <w:rPr>
          <w:rFonts w:ascii="Times New Roman" w:hAnsi="Times New Roman" w:cs="Times New Roman"/>
          <w:sz w:val="24"/>
          <w:szCs w:val="24"/>
          <w:lang w:eastAsia="cs-CZ"/>
        </w:rPr>
      </w:pPr>
      <w:r>
        <w:rPr>
          <w:rFonts w:ascii="Times New Roman" w:hAnsi="Times New Roman" w:cs="Times New Roman"/>
          <w:sz w:val="24"/>
          <w:szCs w:val="24"/>
          <w:lang w:eastAsia="cs-CZ"/>
        </w:rPr>
        <w:sym w:font="Symbol" w:char="F0B7"/>
      </w:r>
      <w:r>
        <w:rPr>
          <w:rFonts w:ascii="Times New Roman" w:hAnsi="Times New Roman" w:cs="Times New Roman"/>
          <w:sz w:val="24"/>
          <w:szCs w:val="24"/>
          <w:lang w:eastAsia="cs-CZ"/>
        </w:rPr>
        <w:t xml:space="preserve"> Uvolňující faktory růstového hormonu byly přesněji kategorizovány a několik jejich příkladů bylo přidáno pro ilustraci kvůli jejich jiným farmakologickým vlastnostem.</w:t>
      </w:r>
    </w:p>
    <w:p w:rsidR="00DF46C7" w:rsidRDefault="00DF46C7" w:rsidP="00C75977">
      <w:pPr>
        <w:autoSpaceDE w:val="0"/>
        <w:autoSpaceDN w:val="0"/>
        <w:adjustRightInd w:val="0"/>
        <w:spacing w:after="0" w:line="240" w:lineRule="auto"/>
        <w:jc w:val="both"/>
        <w:rPr>
          <w:rFonts w:ascii="Times New Roman" w:hAnsi="Times New Roman" w:cs="Times New Roman"/>
          <w:sz w:val="24"/>
          <w:szCs w:val="24"/>
          <w:lang w:eastAsia="cs-CZ"/>
        </w:rPr>
      </w:pPr>
      <w:r>
        <w:rPr>
          <w:rFonts w:ascii="Times New Roman" w:hAnsi="Times New Roman" w:cs="Times New Roman"/>
          <w:sz w:val="24"/>
          <w:szCs w:val="24"/>
          <w:lang w:eastAsia="cs-CZ"/>
        </w:rPr>
        <w:sym w:font="Symbol" w:char="F0B7"/>
      </w:r>
      <w:r>
        <w:rPr>
          <w:rFonts w:ascii="Times New Roman" w:hAnsi="Times New Roman" w:cs="Times New Roman"/>
          <w:sz w:val="24"/>
          <w:szCs w:val="24"/>
          <w:lang w:eastAsia="cs-CZ"/>
        </w:rPr>
        <w:t xml:space="preserve"> IGF-1 byla přesunut do jiné sekce růstových faktorů </w:t>
      </w:r>
    </w:p>
    <w:p w:rsidR="00DF46C7" w:rsidRDefault="00DF46C7" w:rsidP="00C75977">
      <w:pPr>
        <w:autoSpaceDE w:val="0"/>
        <w:autoSpaceDN w:val="0"/>
        <w:adjustRightInd w:val="0"/>
        <w:spacing w:after="0" w:line="240" w:lineRule="auto"/>
        <w:jc w:val="both"/>
        <w:rPr>
          <w:rFonts w:ascii="Times New Roman" w:hAnsi="Times New Roman" w:cs="Times New Roman"/>
          <w:sz w:val="24"/>
          <w:szCs w:val="24"/>
          <w:lang w:eastAsia="cs-CZ"/>
        </w:rPr>
      </w:pPr>
      <w:r>
        <w:rPr>
          <w:rFonts w:ascii="Times New Roman" w:hAnsi="Times New Roman" w:cs="Times New Roman"/>
          <w:sz w:val="24"/>
          <w:szCs w:val="24"/>
          <w:lang w:eastAsia="cs-CZ"/>
        </w:rPr>
        <w:sym w:font="Symbol" w:char="F0B7"/>
      </w:r>
      <w:r>
        <w:rPr>
          <w:rFonts w:ascii="Times New Roman" w:hAnsi="Times New Roman" w:cs="Times New Roman"/>
          <w:sz w:val="24"/>
          <w:szCs w:val="24"/>
          <w:lang w:eastAsia="cs-CZ"/>
        </w:rPr>
        <w:t xml:space="preserve"> Za zmínku stojí, že plasma vyrobená z krevních destiček není zakázaná.</w:t>
      </w:r>
    </w:p>
    <w:p w:rsidR="00DF46C7" w:rsidRDefault="00DF46C7" w:rsidP="00C75977">
      <w:pPr>
        <w:autoSpaceDE w:val="0"/>
        <w:autoSpaceDN w:val="0"/>
        <w:adjustRightInd w:val="0"/>
        <w:spacing w:after="0" w:line="240" w:lineRule="auto"/>
        <w:jc w:val="both"/>
        <w:rPr>
          <w:rFonts w:ascii="Times New Roman" w:hAnsi="Times New Roman" w:cs="Times New Roman"/>
          <w:sz w:val="24"/>
          <w:szCs w:val="24"/>
          <w:lang w:eastAsia="cs-CZ"/>
        </w:rPr>
      </w:pPr>
      <w:r>
        <w:rPr>
          <w:rFonts w:ascii="Times New Roman" w:hAnsi="Times New Roman" w:cs="Times New Roman"/>
          <w:sz w:val="24"/>
          <w:szCs w:val="24"/>
          <w:lang w:eastAsia="cs-CZ"/>
        </w:rPr>
        <w:t> </w:t>
      </w:r>
    </w:p>
    <w:p w:rsidR="00DF46C7" w:rsidRDefault="00DF46C7" w:rsidP="00C75977">
      <w:pPr>
        <w:pStyle w:val="Default"/>
        <w:jc w:val="both"/>
        <w:rPr>
          <w:rFonts w:ascii="Times New Roman" w:hAnsi="Times New Roman" w:cs="Times New Roman"/>
          <w:b/>
          <w:bCs/>
          <w:color w:val="auto"/>
          <w:u w:val="single"/>
          <w:lang w:eastAsia="cs-CZ"/>
        </w:rPr>
      </w:pPr>
      <w:r>
        <w:rPr>
          <w:rFonts w:ascii="Times New Roman" w:hAnsi="Times New Roman" w:cs="Times New Roman"/>
          <w:b/>
          <w:bCs/>
          <w:color w:val="auto"/>
          <w:u w:val="single"/>
          <w:lang w:eastAsia="cs-CZ"/>
        </w:rPr>
        <w:t xml:space="preserve">S4. Hormonální a metabolické modulátory </w:t>
      </w:r>
    </w:p>
    <w:p w:rsidR="00DF46C7" w:rsidRDefault="00DF46C7" w:rsidP="00C75977">
      <w:pPr>
        <w:autoSpaceDE w:val="0"/>
        <w:autoSpaceDN w:val="0"/>
        <w:spacing w:after="0" w:line="240" w:lineRule="auto"/>
        <w:rPr>
          <w:rFonts w:ascii="Verdana" w:hAnsi="Verdana" w:cs="Verdana"/>
          <w:color w:val="000000"/>
          <w:sz w:val="24"/>
          <w:szCs w:val="24"/>
          <w:lang w:eastAsia="cs-CZ"/>
        </w:rPr>
      </w:pPr>
    </w:p>
    <w:p w:rsidR="00DF46C7" w:rsidRDefault="00DF46C7" w:rsidP="00C75977">
      <w:pPr>
        <w:autoSpaceDE w:val="0"/>
        <w:autoSpaceDN w:val="0"/>
        <w:adjustRightInd w:val="0"/>
        <w:spacing w:after="0" w:line="240" w:lineRule="auto"/>
        <w:jc w:val="both"/>
        <w:rPr>
          <w:rFonts w:ascii="Times New Roman" w:hAnsi="Times New Roman" w:cs="Times New Roman"/>
          <w:sz w:val="24"/>
          <w:szCs w:val="24"/>
          <w:lang w:eastAsia="cs-CZ"/>
        </w:rPr>
      </w:pPr>
      <w:r>
        <w:rPr>
          <w:rFonts w:ascii="Times New Roman" w:hAnsi="Times New Roman" w:cs="Times New Roman"/>
          <w:sz w:val="24"/>
          <w:szCs w:val="24"/>
          <w:lang w:eastAsia="cs-CZ"/>
        </w:rPr>
        <w:sym w:font="Symbol" w:char="F0B7"/>
      </w:r>
      <w:r>
        <w:rPr>
          <w:rFonts w:ascii="Times New Roman" w:hAnsi="Times New Roman" w:cs="Times New Roman"/>
          <w:sz w:val="24"/>
          <w:szCs w:val="24"/>
          <w:lang w:eastAsia="cs-CZ"/>
        </w:rPr>
        <w:t xml:space="preserve"> Trimetazidin byl původně součástí skupiny S6.b založené na podobnosti jeho chemické struktury s některým z uvedených stimulantů. Byl přesunut do nově vytvořené sub sekce S4.5.c, protože  je farmakologicky klasifikován jako modulátor srdečního metabolismu. </w:t>
      </w:r>
    </w:p>
    <w:p w:rsidR="00DF46C7" w:rsidRDefault="00DF46C7" w:rsidP="00C75977">
      <w:pPr>
        <w:autoSpaceDE w:val="0"/>
        <w:autoSpaceDN w:val="0"/>
        <w:adjustRightInd w:val="0"/>
        <w:spacing w:after="0" w:line="240" w:lineRule="auto"/>
        <w:jc w:val="both"/>
        <w:rPr>
          <w:rFonts w:ascii="Times New Roman" w:hAnsi="Times New Roman" w:cs="Times New Roman"/>
          <w:sz w:val="24"/>
          <w:szCs w:val="24"/>
          <w:lang w:eastAsia="cs-CZ"/>
        </w:rPr>
      </w:pPr>
      <w:r>
        <w:rPr>
          <w:rFonts w:ascii="Times New Roman" w:hAnsi="Times New Roman" w:cs="Times New Roman"/>
          <w:sz w:val="24"/>
          <w:szCs w:val="24"/>
          <w:lang w:eastAsia="cs-CZ"/>
        </w:rPr>
        <w:sym w:font="Symbol" w:char="F0B7"/>
      </w:r>
      <w:r>
        <w:rPr>
          <w:rFonts w:ascii="Times New Roman" w:hAnsi="Times New Roman" w:cs="Times New Roman"/>
          <w:sz w:val="24"/>
          <w:szCs w:val="24"/>
          <w:lang w:eastAsia="cs-CZ"/>
        </w:rPr>
        <w:t xml:space="preserve"> AMPK aktivátory byly znovu klasifikovány, aby vyjádřily aktuální názvosloví. </w:t>
      </w:r>
    </w:p>
    <w:p w:rsidR="00DF46C7" w:rsidRDefault="00DF46C7" w:rsidP="00C75977">
      <w:pPr>
        <w:autoSpaceDE w:val="0"/>
        <w:autoSpaceDN w:val="0"/>
        <w:adjustRightInd w:val="0"/>
        <w:spacing w:after="0" w:line="240" w:lineRule="auto"/>
        <w:jc w:val="both"/>
        <w:rPr>
          <w:rFonts w:ascii="Times New Roman" w:hAnsi="Times New Roman" w:cs="Times New Roman"/>
          <w:sz w:val="24"/>
          <w:szCs w:val="24"/>
          <w:lang w:eastAsia="cs-CZ"/>
        </w:rPr>
      </w:pPr>
      <w:r>
        <w:rPr>
          <w:rFonts w:ascii="Times New Roman" w:hAnsi="Times New Roman" w:cs="Times New Roman"/>
          <w:sz w:val="24"/>
          <w:szCs w:val="24"/>
          <w:lang w:eastAsia="cs-CZ"/>
        </w:rPr>
        <w:t> </w:t>
      </w:r>
    </w:p>
    <w:p w:rsidR="00DF46C7" w:rsidRDefault="00DF46C7" w:rsidP="00C75977">
      <w:pPr>
        <w:pStyle w:val="Default"/>
        <w:jc w:val="both"/>
        <w:rPr>
          <w:rFonts w:ascii="Times New Roman" w:hAnsi="Times New Roman" w:cs="Times New Roman"/>
          <w:b/>
          <w:bCs/>
          <w:color w:val="auto"/>
          <w:u w:val="single"/>
          <w:lang w:eastAsia="cs-CZ"/>
        </w:rPr>
      </w:pPr>
      <w:r>
        <w:rPr>
          <w:rFonts w:ascii="Times New Roman" w:hAnsi="Times New Roman" w:cs="Times New Roman"/>
          <w:b/>
          <w:bCs/>
          <w:color w:val="auto"/>
          <w:u w:val="single"/>
          <w:lang w:eastAsia="cs-CZ"/>
        </w:rPr>
        <w:t xml:space="preserve">S5. Diuretika a maskovací látky </w:t>
      </w:r>
    </w:p>
    <w:p w:rsidR="00DF46C7" w:rsidRDefault="00DF46C7" w:rsidP="00C75977">
      <w:pPr>
        <w:autoSpaceDE w:val="0"/>
        <w:autoSpaceDN w:val="0"/>
        <w:spacing w:after="0" w:line="240" w:lineRule="auto"/>
        <w:rPr>
          <w:rFonts w:ascii="Verdana" w:hAnsi="Verdana" w:cs="Verdana"/>
          <w:color w:val="000000"/>
          <w:sz w:val="24"/>
          <w:szCs w:val="24"/>
          <w:lang w:eastAsia="cs-CZ"/>
        </w:rPr>
      </w:pPr>
    </w:p>
    <w:p w:rsidR="00DF46C7" w:rsidRDefault="00DF46C7" w:rsidP="00C75977">
      <w:pPr>
        <w:autoSpaceDE w:val="0"/>
        <w:autoSpaceDN w:val="0"/>
        <w:adjustRightInd w:val="0"/>
        <w:spacing w:after="0" w:line="240" w:lineRule="auto"/>
        <w:jc w:val="both"/>
        <w:rPr>
          <w:rFonts w:ascii="Times New Roman" w:hAnsi="Times New Roman" w:cs="Times New Roman"/>
          <w:sz w:val="24"/>
          <w:szCs w:val="24"/>
          <w:lang w:eastAsia="cs-CZ"/>
        </w:rPr>
      </w:pPr>
      <w:r>
        <w:rPr>
          <w:rFonts w:ascii="Times New Roman" w:hAnsi="Times New Roman" w:cs="Times New Roman"/>
          <w:sz w:val="24"/>
          <w:szCs w:val="24"/>
          <w:lang w:eastAsia="cs-CZ"/>
        </w:rPr>
        <w:sym w:font="Symbol" w:char="F0B7"/>
      </w:r>
      <w:r>
        <w:rPr>
          <w:rFonts w:ascii="Times New Roman" w:hAnsi="Times New Roman" w:cs="Times New Roman"/>
          <w:sz w:val="24"/>
          <w:szCs w:val="24"/>
          <w:lang w:eastAsia="cs-CZ"/>
        </w:rPr>
        <w:t xml:space="preserve"> Název a následující odstavce byly upraveny odstraněním slova "ostatní", aby pojem diuretika lépe odrážel fakt, že nejsou jen maskovací látkou, ale že můžou být též zneužita pro jiné účely, jako je jejich užití zejména pro rychlé zhubnutí. </w:t>
      </w:r>
    </w:p>
    <w:p w:rsidR="00DF46C7" w:rsidRDefault="00DF46C7" w:rsidP="00C75977">
      <w:pPr>
        <w:autoSpaceDE w:val="0"/>
        <w:autoSpaceDN w:val="0"/>
        <w:adjustRightInd w:val="0"/>
        <w:spacing w:after="0" w:line="240" w:lineRule="auto"/>
        <w:jc w:val="both"/>
        <w:rPr>
          <w:rFonts w:ascii="Times New Roman" w:hAnsi="Times New Roman" w:cs="Times New Roman"/>
          <w:sz w:val="24"/>
          <w:szCs w:val="24"/>
          <w:lang w:eastAsia="cs-CZ"/>
        </w:rPr>
      </w:pPr>
      <w:r>
        <w:rPr>
          <w:rFonts w:ascii="Times New Roman" w:hAnsi="Times New Roman" w:cs="Times New Roman"/>
          <w:sz w:val="24"/>
          <w:szCs w:val="24"/>
          <w:lang w:eastAsia="cs-CZ"/>
        </w:rPr>
        <w:sym w:font="Symbol" w:char="F0B7"/>
      </w:r>
      <w:r>
        <w:rPr>
          <w:rFonts w:ascii="Times New Roman" w:hAnsi="Times New Roman" w:cs="Times New Roman"/>
          <w:sz w:val="24"/>
          <w:szCs w:val="24"/>
          <w:lang w:eastAsia="cs-CZ"/>
        </w:rPr>
        <w:t xml:space="preserve"> Poslední odstavec byl pro lepší srozumitelnost přeformulován. Zásady a postupy uvedené v předchozí verzi Seznamu zakázaných látek zůstávají nezměněny. </w:t>
      </w:r>
    </w:p>
    <w:p w:rsidR="00DF46C7" w:rsidRDefault="00DF46C7" w:rsidP="00C75977">
      <w:pPr>
        <w:autoSpaceDE w:val="0"/>
        <w:autoSpaceDN w:val="0"/>
        <w:adjustRightInd w:val="0"/>
        <w:spacing w:after="0" w:line="240" w:lineRule="auto"/>
        <w:jc w:val="both"/>
        <w:rPr>
          <w:rFonts w:ascii="Times New Roman" w:hAnsi="Times New Roman" w:cs="Times New Roman"/>
          <w:sz w:val="24"/>
          <w:szCs w:val="24"/>
          <w:lang w:eastAsia="cs-CZ"/>
        </w:rPr>
      </w:pPr>
    </w:p>
    <w:p w:rsidR="00DF46C7" w:rsidRDefault="00DF46C7" w:rsidP="00C75977">
      <w:pPr>
        <w:autoSpaceDE w:val="0"/>
        <w:autoSpaceDN w:val="0"/>
        <w:spacing w:after="0" w:line="240" w:lineRule="auto"/>
        <w:rPr>
          <w:rFonts w:ascii="Verdana" w:hAnsi="Verdana" w:cs="Verdana"/>
          <w:color w:val="000000"/>
          <w:sz w:val="24"/>
          <w:szCs w:val="24"/>
          <w:lang w:eastAsia="cs-CZ"/>
        </w:rPr>
      </w:pPr>
      <w:r>
        <w:rPr>
          <w:rFonts w:ascii="Verdana" w:hAnsi="Verdana" w:cs="Verdana"/>
          <w:color w:val="000000"/>
          <w:lang w:eastAsia="cs-CZ"/>
        </w:rPr>
        <w:t> </w:t>
      </w:r>
    </w:p>
    <w:p w:rsidR="00DF46C7" w:rsidRDefault="00DF46C7" w:rsidP="00C75977">
      <w:pPr>
        <w:pStyle w:val="Default"/>
        <w:jc w:val="both"/>
        <w:rPr>
          <w:rFonts w:ascii="Times New Roman" w:hAnsi="Times New Roman" w:cs="Times New Roman"/>
          <w:b/>
          <w:bCs/>
          <w:color w:val="auto"/>
          <w:sz w:val="22"/>
          <w:szCs w:val="22"/>
          <w:lang w:eastAsia="cs-CZ"/>
        </w:rPr>
      </w:pPr>
      <w:r>
        <w:rPr>
          <w:rFonts w:ascii="Times New Roman" w:hAnsi="Times New Roman" w:cs="Times New Roman"/>
          <w:b/>
          <w:bCs/>
          <w:color w:val="auto"/>
          <w:sz w:val="22"/>
          <w:szCs w:val="22"/>
          <w:lang w:eastAsia="cs-CZ"/>
        </w:rPr>
        <w:t xml:space="preserve">ZAKÁZANÉ METODY </w:t>
      </w:r>
    </w:p>
    <w:p w:rsidR="00DF46C7" w:rsidRDefault="00DF46C7" w:rsidP="00C75977">
      <w:pPr>
        <w:pStyle w:val="Default"/>
        <w:jc w:val="both"/>
        <w:rPr>
          <w:rFonts w:ascii="Times New Roman" w:hAnsi="Times New Roman" w:cs="Times New Roman"/>
          <w:b/>
          <w:bCs/>
          <w:color w:val="auto"/>
          <w:sz w:val="22"/>
          <w:szCs w:val="22"/>
          <w:lang w:eastAsia="cs-CZ"/>
        </w:rPr>
      </w:pPr>
    </w:p>
    <w:p w:rsidR="00DF46C7" w:rsidRDefault="00DF46C7" w:rsidP="00C75977">
      <w:pPr>
        <w:pStyle w:val="Default"/>
        <w:jc w:val="both"/>
        <w:rPr>
          <w:rFonts w:ascii="Times New Roman" w:hAnsi="Times New Roman" w:cs="Times New Roman"/>
          <w:b/>
          <w:bCs/>
          <w:color w:val="auto"/>
          <w:u w:val="single"/>
          <w:lang w:eastAsia="cs-CZ"/>
        </w:rPr>
      </w:pPr>
      <w:r>
        <w:rPr>
          <w:rFonts w:ascii="Times New Roman" w:hAnsi="Times New Roman" w:cs="Times New Roman"/>
          <w:b/>
          <w:bCs/>
          <w:color w:val="auto"/>
          <w:u w:val="single"/>
          <w:lang w:eastAsia="cs-CZ"/>
        </w:rPr>
        <w:t xml:space="preserve">M2. Chemická a fyzikální manipulace </w:t>
      </w:r>
    </w:p>
    <w:p w:rsidR="00DF46C7" w:rsidRDefault="00DF46C7" w:rsidP="00C75977">
      <w:pPr>
        <w:pStyle w:val="Default"/>
        <w:jc w:val="both"/>
        <w:rPr>
          <w:rFonts w:ascii="Times New Roman" w:hAnsi="Times New Roman" w:cs="Times New Roman"/>
          <w:b/>
          <w:bCs/>
          <w:color w:val="auto"/>
          <w:u w:val="single"/>
          <w:lang w:eastAsia="cs-CZ"/>
        </w:rPr>
      </w:pPr>
    </w:p>
    <w:p w:rsidR="00DF46C7" w:rsidRDefault="00DF46C7" w:rsidP="00C75977">
      <w:pPr>
        <w:autoSpaceDE w:val="0"/>
        <w:autoSpaceDN w:val="0"/>
        <w:adjustRightInd w:val="0"/>
        <w:spacing w:after="0" w:line="240" w:lineRule="auto"/>
        <w:jc w:val="both"/>
        <w:rPr>
          <w:rFonts w:ascii="Times New Roman" w:hAnsi="Times New Roman" w:cs="Times New Roman"/>
          <w:sz w:val="24"/>
          <w:szCs w:val="24"/>
          <w:lang w:eastAsia="cs-CZ"/>
        </w:rPr>
      </w:pPr>
      <w:r>
        <w:rPr>
          <w:rFonts w:ascii="Times New Roman" w:hAnsi="Times New Roman" w:cs="Times New Roman"/>
          <w:sz w:val="24"/>
          <w:szCs w:val="24"/>
          <w:lang w:eastAsia="cs-CZ"/>
        </w:rPr>
        <w:sym w:font="Symbol" w:char="F0B7"/>
      </w:r>
      <w:r>
        <w:rPr>
          <w:rFonts w:ascii="Times New Roman" w:hAnsi="Times New Roman" w:cs="Times New Roman"/>
          <w:sz w:val="24"/>
          <w:szCs w:val="24"/>
          <w:lang w:eastAsia="cs-CZ"/>
        </w:rPr>
        <w:t xml:space="preserve"> Byl přidán termín "chirurgické zákroky" do věty, která  popisuje situaci nezbytně nutné aplikace  intravenózní infuse nebo injekce více než 50 ml během 6 hodin. </w:t>
      </w:r>
    </w:p>
    <w:p w:rsidR="00DF46C7" w:rsidRDefault="00DF46C7" w:rsidP="00C75977">
      <w:pPr>
        <w:autoSpaceDE w:val="0"/>
        <w:autoSpaceDN w:val="0"/>
        <w:spacing w:after="0" w:line="240" w:lineRule="auto"/>
        <w:rPr>
          <w:rFonts w:ascii="Verdana" w:hAnsi="Verdana" w:cs="Verdana"/>
          <w:color w:val="000000"/>
          <w:sz w:val="24"/>
          <w:szCs w:val="24"/>
          <w:lang w:eastAsia="cs-CZ"/>
        </w:rPr>
      </w:pPr>
      <w:r>
        <w:rPr>
          <w:rFonts w:ascii="Verdana" w:hAnsi="Verdana" w:cs="Verdana"/>
          <w:color w:val="000000"/>
          <w:lang w:eastAsia="cs-CZ"/>
        </w:rPr>
        <w:t> </w:t>
      </w:r>
    </w:p>
    <w:p w:rsidR="00DF46C7" w:rsidRDefault="00DF46C7" w:rsidP="00C75977">
      <w:pPr>
        <w:autoSpaceDE w:val="0"/>
        <w:autoSpaceDN w:val="0"/>
        <w:adjustRightInd w:val="0"/>
        <w:spacing w:after="0" w:line="240" w:lineRule="auto"/>
        <w:jc w:val="both"/>
        <w:rPr>
          <w:rFonts w:ascii="Times New Roman" w:hAnsi="Times New Roman" w:cs="Times New Roman"/>
          <w:b/>
          <w:bCs/>
          <w:sz w:val="24"/>
          <w:szCs w:val="24"/>
          <w:lang w:eastAsia="cs-CZ"/>
        </w:rPr>
      </w:pPr>
      <w:r>
        <w:rPr>
          <w:rFonts w:ascii="Times New Roman" w:hAnsi="Times New Roman" w:cs="Times New Roman"/>
          <w:b/>
          <w:bCs/>
          <w:sz w:val="24"/>
          <w:szCs w:val="24"/>
          <w:lang w:eastAsia="cs-CZ"/>
        </w:rPr>
        <w:t xml:space="preserve">LÁTKY A  METODY ZAKÁZANÉ  PŘI SOUTĚŽI </w:t>
      </w:r>
    </w:p>
    <w:p w:rsidR="00DF46C7" w:rsidRDefault="00DF46C7" w:rsidP="00C75977">
      <w:pPr>
        <w:autoSpaceDE w:val="0"/>
        <w:autoSpaceDN w:val="0"/>
        <w:spacing w:after="0" w:line="240" w:lineRule="auto"/>
        <w:rPr>
          <w:rFonts w:ascii="Verdana" w:hAnsi="Verdana" w:cs="Verdana"/>
          <w:color w:val="000000"/>
          <w:lang w:eastAsia="cs-CZ"/>
        </w:rPr>
      </w:pPr>
    </w:p>
    <w:p w:rsidR="00DF46C7" w:rsidRDefault="00DF46C7" w:rsidP="00C75977">
      <w:pPr>
        <w:pStyle w:val="Default"/>
        <w:jc w:val="both"/>
        <w:rPr>
          <w:rFonts w:ascii="Times New Roman" w:hAnsi="Times New Roman" w:cs="Times New Roman"/>
          <w:b/>
          <w:bCs/>
          <w:color w:val="auto"/>
          <w:u w:val="single"/>
          <w:lang w:eastAsia="cs-CZ"/>
        </w:rPr>
      </w:pPr>
      <w:r>
        <w:rPr>
          <w:rFonts w:ascii="Times New Roman" w:hAnsi="Times New Roman" w:cs="Times New Roman"/>
          <w:b/>
          <w:bCs/>
          <w:color w:val="auto"/>
          <w:u w:val="single"/>
          <w:lang w:eastAsia="cs-CZ"/>
        </w:rPr>
        <w:t>S6. Stimulancia</w:t>
      </w:r>
    </w:p>
    <w:p w:rsidR="00DF46C7" w:rsidRDefault="00DF46C7" w:rsidP="00C75977">
      <w:pPr>
        <w:pStyle w:val="Default"/>
        <w:jc w:val="both"/>
        <w:rPr>
          <w:rFonts w:ascii="Times New Roman" w:hAnsi="Times New Roman" w:cs="Times New Roman"/>
          <w:b/>
          <w:bCs/>
          <w:color w:val="auto"/>
          <w:u w:val="single"/>
          <w:lang w:eastAsia="cs-CZ"/>
        </w:rPr>
      </w:pPr>
    </w:p>
    <w:p w:rsidR="00DF46C7" w:rsidRDefault="00DF46C7" w:rsidP="00C75977">
      <w:pPr>
        <w:autoSpaceDE w:val="0"/>
        <w:autoSpaceDN w:val="0"/>
        <w:adjustRightInd w:val="0"/>
        <w:spacing w:after="0" w:line="240" w:lineRule="auto"/>
        <w:jc w:val="both"/>
        <w:rPr>
          <w:rFonts w:ascii="Times New Roman" w:hAnsi="Times New Roman" w:cs="Times New Roman"/>
          <w:sz w:val="24"/>
          <w:szCs w:val="24"/>
          <w:lang w:eastAsia="cs-CZ"/>
        </w:rPr>
      </w:pPr>
      <w:r>
        <w:rPr>
          <w:rFonts w:ascii="Times New Roman" w:hAnsi="Times New Roman" w:cs="Times New Roman"/>
          <w:sz w:val="24"/>
          <w:szCs w:val="24"/>
          <w:lang w:eastAsia="cs-CZ"/>
        </w:rPr>
        <w:sym w:font="Symbol" w:char="F0B7"/>
      </w:r>
      <w:r>
        <w:rPr>
          <w:rFonts w:ascii="Times New Roman" w:hAnsi="Times New Roman" w:cs="Times New Roman"/>
          <w:sz w:val="24"/>
          <w:szCs w:val="24"/>
          <w:lang w:eastAsia="cs-CZ"/>
        </w:rPr>
        <w:t xml:space="preserve"> Pro upřesnění lokální/oční deriváty imidazolu, byly zmíněny jako výjimky povoleného stimulancia. </w:t>
      </w:r>
    </w:p>
    <w:p w:rsidR="00DF46C7" w:rsidRDefault="00DF46C7" w:rsidP="00C75977">
      <w:pPr>
        <w:autoSpaceDE w:val="0"/>
        <w:autoSpaceDN w:val="0"/>
        <w:adjustRightInd w:val="0"/>
        <w:spacing w:after="0" w:line="240" w:lineRule="auto"/>
        <w:jc w:val="both"/>
        <w:rPr>
          <w:rFonts w:ascii="Verdana" w:hAnsi="Verdana" w:cs="Verdana"/>
          <w:color w:val="000000"/>
          <w:sz w:val="24"/>
          <w:szCs w:val="24"/>
          <w:lang w:eastAsia="cs-CZ"/>
        </w:rPr>
      </w:pPr>
      <w:r>
        <w:rPr>
          <w:rFonts w:ascii="Times New Roman" w:hAnsi="Times New Roman" w:cs="Times New Roman"/>
          <w:sz w:val="24"/>
          <w:szCs w:val="24"/>
          <w:lang w:eastAsia="cs-CZ"/>
        </w:rPr>
        <w:sym w:font="Symbol" w:char="F0B7"/>
      </w:r>
      <w:r>
        <w:rPr>
          <w:rFonts w:ascii="Times New Roman" w:hAnsi="Times New Roman" w:cs="Times New Roman"/>
          <w:sz w:val="24"/>
          <w:szCs w:val="24"/>
          <w:lang w:eastAsia="cs-CZ"/>
        </w:rPr>
        <w:t xml:space="preserve"> Fenmetrazin, zpočátku uveden v sekci S6.a, byl přesunut do sekce S6.b protože fenbutrazát (sekce S6.b) se může metabolizovat na fenmetrazin </w:t>
      </w:r>
      <w:r>
        <w:rPr>
          <w:rFonts w:ascii="Verdana" w:hAnsi="Verdana" w:cs="Verdana"/>
          <w:color w:val="000000"/>
          <w:lang w:eastAsia="cs-CZ"/>
        </w:rPr>
        <w:t> </w:t>
      </w:r>
    </w:p>
    <w:p w:rsidR="00DF46C7" w:rsidRDefault="00DF46C7" w:rsidP="00C75977">
      <w:pPr>
        <w:autoSpaceDE w:val="0"/>
        <w:autoSpaceDN w:val="0"/>
        <w:adjustRightInd w:val="0"/>
        <w:spacing w:after="0" w:line="240" w:lineRule="auto"/>
        <w:jc w:val="both"/>
        <w:rPr>
          <w:rFonts w:ascii="Times New Roman" w:hAnsi="Times New Roman" w:cs="Times New Roman"/>
          <w:sz w:val="24"/>
          <w:szCs w:val="24"/>
          <w:lang w:eastAsia="cs-CZ"/>
        </w:rPr>
      </w:pPr>
      <w:r>
        <w:rPr>
          <w:rFonts w:ascii="Times New Roman" w:hAnsi="Times New Roman" w:cs="Times New Roman"/>
          <w:sz w:val="24"/>
          <w:szCs w:val="24"/>
          <w:lang w:eastAsia="cs-CZ"/>
        </w:rPr>
        <w:sym w:font="Symbol" w:char="F0B7"/>
      </w:r>
      <w:r>
        <w:rPr>
          <w:rFonts w:ascii="Times New Roman" w:hAnsi="Times New Roman" w:cs="Times New Roman"/>
          <w:sz w:val="24"/>
          <w:szCs w:val="24"/>
          <w:lang w:eastAsia="cs-CZ"/>
        </w:rPr>
        <w:t xml:space="preserve"> Seznam nyní jasně stanoví celou skupinu derivátů phenethylaminu jako zakázanou, aby  upozornil na rostoucí počet nelegálních, designovaných  stimulantů odvozených od phenethylaminu. </w:t>
      </w:r>
    </w:p>
    <w:p w:rsidR="00DF46C7" w:rsidRDefault="00DF46C7" w:rsidP="00C75977">
      <w:pPr>
        <w:autoSpaceDE w:val="0"/>
        <w:autoSpaceDN w:val="0"/>
        <w:adjustRightInd w:val="0"/>
        <w:spacing w:after="0" w:line="240" w:lineRule="auto"/>
        <w:jc w:val="both"/>
        <w:rPr>
          <w:rFonts w:ascii="Times New Roman" w:hAnsi="Times New Roman" w:cs="Times New Roman"/>
          <w:sz w:val="24"/>
          <w:szCs w:val="24"/>
          <w:lang w:eastAsia="cs-CZ"/>
        </w:rPr>
      </w:pPr>
      <w:r>
        <w:rPr>
          <w:rFonts w:ascii="Times New Roman" w:hAnsi="Times New Roman" w:cs="Times New Roman"/>
          <w:sz w:val="24"/>
          <w:szCs w:val="24"/>
          <w:lang w:eastAsia="cs-CZ"/>
        </w:rPr>
        <w:sym w:font="Symbol" w:char="F0B7"/>
      </w:r>
      <w:r>
        <w:rPr>
          <w:rFonts w:ascii="Times New Roman" w:hAnsi="Times New Roman" w:cs="Times New Roman"/>
          <w:sz w:val="24"/>
          <w:szCs w:val="24"/>
          <w:lang w:eastAsia="cs-CZ"/>
        </w:rPr>
        <w:t xml:space="preserve"> Trimetazidin byl převeden do nově vytvořené sub sekce S4.5.c (viz výše). </w:t>
      </w:r>
    </w:p>
    <w:p w:rsidR="00DF46C7" w:rsidRDefault="00DF46C7" w:rsidP="00C75977">
      <w:pPr>
        <w:autoSpaceDE w:val="0"/>
        <w:autoSpaceDN w:val="0"/>
        <w:spacing w:after="0" w:line="240" w:lineRule="auto"/>
        <w:rPr>
          <w:rFonts w:ascii="Verdana" w:hAnsi="Verdana" w:cs="Verdana"/>
          <w:color w:val="000000"/>
          <w:sz w:val="24"/>
          <w:szCs w:val="24"/>
          <w:lang w:eastAsia="cs-CZ"/>
        </w:rPr>
      </w:pPr>
      <w:r>
        <w:rPr>
          <w:rFonts w:ascii="Verdana" w:hAnsi="Verdana" w:cs="Verdana"/>
          <w:color w:val="000000"/>
          <w:lang w:eastAsia="cs-CZ"/>
        </w:rPr>
        <w:t> </w:t>
      </w:r>
    </w:p>
    <w:p w:rsidR="00DF46C7" w:rsidRDefault="00DF46C7" w:rsidP="00C75977">
      <w:pPr>
        <w:autoSpaceDE w:val="0"/>
        <w:autoSpaceDN w:val="0"/>
        <w:spacing w:after="0" w:line="240" w:lineRule="auto"/>
        <w:rPr>
          <w:rFonts w:ascii="Verdana" w:hAnsi="Verdana" w:cs="Verdana"/>
          <w:color w:val="000000"/>
          <w:lang w:eastAsia="cs-CZ"/>
        </w:rPr>
      </w:pPr>
      <w:r>
        <w:rPr>
          <w:rFonts w:ascii="Times New Roman" w:hAnsi="Times New Roman" w:cs="Times New Roman"/>
          <w:b/>
          <w:bCs/>
          <w:sz w:val="24"/>
          <w:szCs w:val="24"/>
          <w:u w:val="single"/>
          <w:lang w:eastAsia="cs-CZ"/>
        </w:rPr>
        <w:t>S9. Glukokortikoidy</w:t>
      </w:r>
      <w:r>
        <w:rPr>
          <w:rFonts w:ascii="Verdana" w:hAnsi="Verdana" w:cs="Verdana"/>
          <w:color w:val="000000"/>
          <w:lang w:eastAsia="cs-CZ"/>
        </w:rPr>
        <w:t xml:space="preserve"> </w:t>
      </w:r>
    </w:p>
    <w:p w:rsidR="00DF46C7" w:rsidRDefault="00DF46C7" w:rsidP="00C75977">
      <w:pPr>
        <w:autoSpaceDE w:val="0"/>
        <w:autoSpaceDN w:val="0"/>
        <w:spacing w:after="0" w:line="240" w:lineRule="auto"/>
        <w:rPr>
          <w:rFonts w:ascii="Verdana" w:hAnsi="Verdana" w:cs="Verdana"/>
          <w:color w:val="000000"/>
          <w:sz w:val="24"/>
          <w:szCs w:val="24"/>
          <w:lang w:eastAsia="cs-CZ"/>
        </w:rPr>
      </w:pPr>
    </w:p>
    <w:p w:rsidR="00DF46C7" w:rsidRDefault="00DF46C7" w:rsidP="00C75977">
      <w:pPr>
        <w:autoSpaceDE w:val="0"/>
        <w:autoSpaceDN w:val="0"/>
        <w:adjustRightInd w:val="0"/>
        <w:spacing w:after="0" w:line="240" w:lineRule="auto"/>
        <w:jc w:val="both"/>
        <w:rPr>
          <w:rFonts w:ascii="Times New Roman" w:hAnsi="Times New Roman" w:cs="Times New Roman"/>
          <w:sz w:val="24"/>
          <w:szCs w:val="24"/>
          <w:lang w:eastAsia="cs-CZ"/>
        </w:rPr>
      </w:pPr>
      <w:r>
        <w:rPr>
          <w:rFonts w:ascii="Times New Roman" w:hAnsi="Times New Roman" w:cs="Times New Roman"/>
          <w:sz w:val="24"/>
          <w:szCs w:val="24"/>
          <w:lang w:eastAsia="cs-CZ"/>
        </w:rPr>
        <w:sym w:font="Symbol" w:char="F0B7"/>
      </w:r>
      <w:r>
        <w:rPr>
          <w:rFonts w:ascii="Times New Roman" w:hAnsi="Times New Roman" w:cs="Times New Roman"/>
          <w:sz w:val="24"/>
          <w:szCs w:val="24"/>
          <w:lang w:eastAsia="cs-CZ"/>
        </w:rPr>
        <w:t xml:space="preserve"> Glukokortikosteroidy jsou popsány jako glukokortikoidy, aby lépe vyjádřily stávající názvosloví a použití. </w:t>
      </w:r>
    </w:p>
    <w:p w:rsidR="00DF46C7" w:rsidRDefault="00DF46C7" w:rsidP="00C75977">
      <w:pPr>
        <w:autoSpaceDE w:val="0"/>
        <w:autoSpaceDN w:val="0"/>
        <w:spacing w:after="0" w:line="240" w:lineRule="auto"/>
        <w:rPr>
          <w:rFonts w:ascii="Verdana" w:hAnsi="Verdana" w:cs="Verdana"/>
          <w:color w:val="000000"/>
          <w:sz w:val="24"/>
          <w:szCs w:val="24"/>
          <w:lang w:eastAsia="cs-CZ"/>
        </w:rPr>
      </w:pPr>
      <w:r>
        <w:rPr>
          <w:rFonts w:ascii="Verdana" w:hAnsi="Verdana" w:cs="Verdana"/>
          <w:color w:val="000000"/>
          <w:lang w:eastAsia="cs-CZ"/>
        </w:rPr>
        <w:t> </w:t>
      </w:r>
    </w:p>
    <w:p w:rsidR="00DF46C7" w:rsidRDefault="00DF46C7" w:rsidP="00C75977">
      <w:pPr>
        <w:autoSpaceDE w:val="0"/>
        <w:autoSpaceDN w:val="0"/>
        <w:spacing w:after="0" w:line="240" w:lineRule="auto"/>
        <w:rPr>
          <w:rFonts w:ascii="Verdana" w:hAnsi="Verdana" w:cs="Verdana"/>
          <w:b/>
          <w:bCs/>
          <w:color w:val="000000"/>
          <w:lang w:eastAsia="cs-CZ"/>
        </w:rPr>
      </w:pPr>
      <w:r>
        <w:rPr>
          <w:rFonts w:ascii="Verdana" w:hAnsi="Verdana" w:cs="Verdana"/>
          <w:b/>
          <w:bCs/>
          <w:color w:val="000000"/>
          <w:lang w:eastAsia="cs-CZ"/>
        </w:rPr>
        <w:t xml:space="preserve">LÁTKY ZAKÁZANÉ V URČITÝCH SPORTECH </w:t>
      </w:r>
    </w:p>
    <w:p w:rsidR="00DF46C7" w:rsidRDefault="00DF46C7" w:rsidP="00C75977">
      <w:pPr>
        <w:autoSpaceDE w:val="0"/>
        <w:autoSpaceDN w:val="0"/>
        <w:spacing w:after="0" w:line="240" w:lineRule="auto"/>
        <w:rPr>
          <w:rFonts w:ascii="Verdana" w:hAnsi="Verdana" w:cs="Verdana"/>
          <w:color w:val="000000"/>
          <w:sz w:val="24"/>
          <w:szCs w:val="24"/>
          <w:lang w:eastAsia="cs-CZ"/>
        </w:rPr>
      </w:pPr>
    </w:p>
    <w:p w:rsidR="00DF46C7" w:rsidRDefault="00DF46C7" w:rsidP="00C75977">
      <w:pPr>
        <w:autoSpaceDE w:val="0"/>
        <w:autoSpaceDN w:val="0"/>
        <w:spacing w:after="0" w:line="240" w:lineRule="auto"/>
        <w:rPr>
          <w:rFonts w:ascii="Times New Roman" w:hAnsi="Times New Roman" w:cs="Times New Roman"/>
          <w:b/>
          <w:bCs/>
          <w:sz w:val="24"/>
          <w:szCs w:val="24"/>
          <w:u w:val="single"/>
          <w:lang w:eastAsia="cs-CZ"/>
        </w:rPr>
      </w:pPr>
      <w:r>
        <w:rPr>
          <w:rFonts w:ascii="Times New Roman" w:hAnsi="Times New Roman" w:cs="Times New Roman"/>
          <w:b/>
          <w:bCs/>
          <w:sz w:val="24"/>
          <w:szCs w:val="24"/>
          <w:u w:val="single"/>
          <w:lang w:eastAsia="cs-CZ"/>
        </w:rPr>
        <w:t>P1. Alkohol</w:t>
      </w:r>
    </w:p>
    <w:p w:rsidR="00DF46C7" w:rsidRDefault="00DF46C7" w:rsidP="00C75977">
      <w:pPr>
        <w:autoSpaceDE w:val="0"/>
        <w:autoSpaceDN w:val="0"/>
        <w:spacing w:after="0" w:line="240" w:lineRule="auto"/>
        <w:rPr>
          <w:rFonts w:ascii="Times New Roman" w:hAnsi="Times New Roman" w:cs="Times New Roman"/>
          <w:b/>
          <w:bCs/>
          <w:sz w:val="24"/>
          <w:szCs w:val="24"/>
          <w:u w:val="single"/>
          <w:lang w:eastAsia="cs-CZ"/>
        </w:rPr>
      </w:pPr>
    </w:p>
    <w:p w:rsidR="00DF46C7" w:rsidRDefault="00DF46C7" w:rsidP="00C75977">
      <w:pPr>
        <w:autoSpaceDE w:val="0"/>
        <w:autoSpaceDN w:val="0"/>
        <w:adjustRightInd w:val="0"/>
        <w:spacing w:after="0" w:line="240" w:lineRule="auto"/>
        <w:jc w:val="both"/>
        <w:rPr>
          <w:rFonts w:ascii="Times New Roman" w:hAnsi="Times New Roman" w:cs="Times New Roman"/>
          <w:sz w:val="24"/>
          <w:szCs w:val="24"/>
          <w:lang w:eastAsia="cs-CZ"/>
        </w:rPr>
      </w:pPr>
      <w:r>
        <w:rPr>
          <w:rFonts w:ascii="Times New Roman" w:hAnsi="Times New Roman" w:cs="Times New Roman"/>
          <w:sz w:val="24"/>
          <w:szCs w:val="24"/>
          <w:lang w:eastAsia="cs-CZ"/>
        </w:rPr>
        <w:sym w:font="Symbol" w:char="F0B7"/>
      </w:r>
      <w:r>
        <w:rPr>
          <w:rFonts w:ascii="Times New Roman" w:hAnsi="Times New Roman" w:cs="Times New Roman"/>
          <w:sz w:val="24"/>
          <w:szCs w:val="24"/>
          <w:lang w:eastAsia="cs-CZ"/>
        </w:rPr>
        <w:t xml:space="preserve"> Jako reakce na žádost Svět</w:t>
      </w:r>
      <w:bookmarkStart w:id="0" w:name="_GoBack"/>
      <w:bookmarkEnd w:id="0"/>
      <w:r>
        <w:rPr>
          <w:rFonts w:ascii="Times New Roman" w:hAnsi="Times New Roman" w:cs="Times New Roman"/>
          <w:sz w:val="24"/>
          <w:szCs w:val="24"/>
          <w:lang w:eastAsia="cs-CZ"/>
        </w:rPr>
        <w:t xml:space="preserve">ové karatistické federace (WKF), bylo karate odebráno ze seznamu sportů, v nichž je zakázán alkohol. </w:t>
      </w:r>
    </w:p>
    <w:p w:rsidR="00DF46C7" w:rsidRDefault="00DF46C7" w:rsidP="00C75977">
      <w:pPr>
        <w:autoSpaceDE w:val="0"/>
        <w:autoSpaceDN w:val="0"/>
        <w:adjustRightInd w:val="0"/>
        <w:spacing w:after="0" w:line="240" w:lineRule="auto"/>
        <w:jc w:val="both"/>
        <w:rPr>
          <w:rFonts w:ascii="Times New Roman" w:hAnsi="Times New Roman" w:cs="Times New Roman"/>
          <w:sz w:val="24"/>
          <w:szCs w:val="24"/>
          <w:lang w:eastAsia="cs-CZ"/>
        </w:rPr>
      </w:pPr>
      <w:r>
        <w:rPr>
          <w:rFonts w:ascii="Times New Roman" w:hAnsi="Times New Roman" w:cs="Times New Roman"/>
          <w:sz w:val="24"/>
          <w:szCs w:val="24"/>
          <w:lang w:eastAsia="cs-CZ"/>
        </w:rPr>
        <w:t> </w:t>
      </w:r>
    </w:p>
    <w:p w:rsidR="00DF46C7" w:rsidRDefault="00DF46C7" w:rsidP="00C75977">
      <w:pPr>
        <w:autoSpaceDE w:val="0"/>
        <w:autoSpaceDN w:val="0"/>
        <w:spacing w:after="0" w:line="240" w:lineRule="auto"/>
        <w:rPr>
          <w:rFonts w:ascii="Times New Roman" w:hAnsi="Times New Roman" w:cs="Times New Roman"/>
          <w:b/>
          <w:bCs/>
          <w:sz w:val="24"/>
          <w:szCs w:val="24"/>
          <w:u w:val="single"/>
          <w:lang w:eastAsia="cs-CZ"/>
        </w:rPr>
      </w:pPr>
      <w:r>
        <w:rPr>
          <w:rFonts w:ascii="Times New Roman" w:hAnsi="Times New Roman" w:cs="Times New Roman"/>
          <w:b/>
          <w:bCs/>
          <w:sz w:val="24"/>
          <w:szCs w:val="24"/>
          <w:u w:val="single"/>
          <w:lang w:eastAsia="cs-CZ"/>
        </w:rPr>
        <w:t xml:space="preserve">P2. Beta-blokátory </w:t>
      </w:r>
    </w:p>
    <w:p w:rsidR="00DF46C7" w:rsidRDefault="00DF46C7" w:rsidP="00C75977">
      <w:pPr>
        <w:autoSpaceDE w:val="0"/>
        <w:autoSpaceDN w:val="0"/>
        <w:spacing w:after="0" w:line="240" w:lineRule="auto"/>
        <w:rPr>
          <w:rFonts w:ascii="Times New Roman" w:hAnsi="Times New Roman" w:cs="Times New Roman"/>
          <w:b/>
          <w:bCs/>
          <w:sz w:val="24"/>
          <w:szCs w:val="24"/>
          <w:u w:val="single"/>
          <w:lang w:eastAsia="cs-CZ"/>
        </w:rPr>
      </w:pPr>
    </w:p>
    <w:p w:rsidR="00DF46C7" w:rsidRDefault="00DF46C7" w:rsidP="00C75977">
      <w:pPr>
        <w:autoSpaceDE w:val="0"/>
        <w:autoSpaceDN w:val="0"/>
        <w:adjustRightInd w:val="0"/>
        <w:spacing w:after="0" w:line="240" w:lineRule="auto"/>
        <w:jc w:val="both"/>
        <w:rPr>
          <w:rFonts w:ascii="Times New Roman" w:hAnsi="Times New Roman" w:cs="Times New Roman"/>
          <w:sz w:val="24"/>
          <w:szCs w:val="24"/>
          <w:lang w:eastAsia="cs-CZ"/>
        </w:rPr>
      </w:pPr>
      <w:r>
        <w:rPr>
          <w:rFonts w:ascii="Times New Roman" w:hAnsi="Times New Roman" w:cs="Times New Roman"/>
          <w:sz w:val="24"/>
          <w:szCs w:val="24"/>
          <w:lang w:eastAsia="cs-CZ"/>
        </w:rPr>
        <w:sym w:font="Symbol" w:char="F0B7"/>
      </w:r>
      <w:r>
        <w:rPr>
          <w:rFonts w:ascii="Times New Roman" w:hAnsi="Times New Roman" w:cs="Times New Roman"/>
          <w:sz w:val="24"/>
          <w:szCs w:val="24"/>
          <w:lang w:eastAsia="cs-CZ"/>
        </w:rPr>
        <w:t xml:space="preserve"> Světová federace potápění (CMAS), byla na její žádost přidána do skupiny Mezinárodních federací, které zakazují používání beta-blokátorů při soutěži v určitých jejích disciplínách.</w:t>
      </w:r>
    </w:p>
    <w:p w:rsidR="00DF46C7" w:rsidRDefault="00DF46C7" w:rsidP="00C75977">
      <w:pPr>
        <w:autoSpaceDE w:val="0"/>
        <w:autoSpaceDN w:val="0"/>
        <w:spacing w:after="0" w:line="240" w:lineRule="auto"/>
        <w:rPr>
          <w:rFonts w:ascii="Verdana" w:hAnsi="Verdana" w:cs="Verdana"/>
          <w:color w:val="000000"/>
          <w:sz w:val="24"/>
          <w:szCs w:val="24"/>
          <w:lang w:eastAsia="cs-CZ"/>
        </w:rPr>
      </w:pPr>
      <w:r>
        <w:rPr>
          <w:rFonts w:ascii="Verdana" w:hAnsi="Verdana" w:cs="Verdana"/>
          <w:color w:val="000000"/>
          <w:lang w:eastAsia="cs-CZ"/>
        </w:rPr>
        <w:t> </w:t>
      </w:r>
    </w:p>
    <w:p w:rsidR="00DF46C7" w:rsidRDefault="00DF46C7" w:rsidP="00C75977">
      <w:pPr>
        <w:autoSpaceDE w:val="0"/>
        <w:autoSpaceDN w:val="0"/>
        <w:spacing w:after="0" w:line="240" w:lineRule="auto"/>
        <w:rPr>
          <w:rFonts w:ascii="Verdana" w:hAnsi="Verdana" w:cs="Verdana"/>
          <w:b/>
          <w:bCs/>
          <w:color w:val="000000"/>
          <w:lang w:eastAsia="cs-CZ"/>
        </w:rPr>
      </w:pPr>
      <w:r>
        <w:rPr>
          <w:rFonts w:ascii="Verdana" w:hAnsi="Verdana" w:cs="Verdana"/>
          <w:b/>
          <w:bCs/>
          <w:color w:val="000000"/>
          <w:lang w:eastAsia="cs-CZ"/>
        </w:rPr>
        <w:t xml:space="preserve">MONITOROVACÍ PROGRAM </w:t>
      </w:r>
    </w:p>
    <w:p w:rsidR="00DF46C7" w:rsidRDefault="00DF46C7" w:rsidP="00C75977">
      <w:pPr>
        <w:autoSpaceDE w:val="0"/>
        <w:autoSpaceDN w:val="0"/>
        <w:spacing w:after="0" w:line="240" w:lineRule="auto"/>
        <w:rPr>
          <w:rFonts w:ascii="Verdana" w:hAnsi="Verdana" w:cs="Verdana"/>
          <w:color w:val="000000"/>
          <w:sz w:val="24"/>
          <w:szCs w:val="24"/>
          <w:lang w:eastAsia="cs-CZ"/>
        </w:rPr>
      </w:pPr>
    </w:p>
    <w:p w:rsidR="00DF46C7" w:rsidRDefault="00DF46C7" w:rsidP="00C75977">
      <w:pPr>
        <w:autoSpaceDE w:val="0"/>
        <w:autoSpaceDN w:val="0"/>
        <w:adjustRightInd w:val="0"/>
        <w:spacing w:after="0" w:line="240" w:lineRule="auto"/>
        <w:jc w:val="both"/>
        <w:rPr>
          <w:rFonts w:ascii="Times New Roman" w:hAnsi="Times New Roman" w:cs="Times New Roman"/>
          <w:sz w:val="24"/>
          <w:szCs w:val="24"/>
          <w:lang w:eastAsia="cs-CZ"/>
        </w:rPr>
      </w:pPr>
      <w:r>
        <w:rPr>
          <w:rFonts w:ascii="Times New Roman" w:hAnsi="Times New Roman" w:cs="Times New Roman"/>
          <w:sz w:val="24"/>
          <w:szCs w:val="24"/>
          <w:lang w:eastAsia="cs-CZ"/>
        </w:rPr>
        <w:sym w:font="Symbol" w:char="F0B7"/>
      </w:r>
      <w:r>
        <w:rPr>
          <w:rFonts w:ascii="Times New Roman" w:hAnsi="Times New Roman" w:cs="Times New Roman"/>
          <w:sz w:val="24"/>
          <w:szCs w:val="24"/>
          <w:lang w:eastAsia="cs-CZ"/>
        </w:rPr>
        <w:t xml:space="preserve"> Jelikož dostatečný sběr dat vedl k jasnému závěru, v roce 2015 skončí monitorování pseudoefedrinu pod 150 mikrogramů / ml. </w:t>
      </w:r>
    </w:p>
    <w:p w:rsidR="00DF46C7" w:rsidRDefault="00DF46C7" w:rsidP="00C75977">
      <w:pPr>
        <w:autoSpaceDE w:val="0"/>
        <w:autoSpaceDN w:val="0"/>
        <w:adjustRightInd w:val="0"/>
        <w:spacing w:after="0" w:line="240" w:lineRule="auto"/>
        <w:jc w:val="both"/>
        <w:rPr>
          <w:rFonts w:ascii="Times New Roman" w:hAnsi="Times New Roman" w:cs="Times New Roman"/>
          <w:sz w:val="24"/>
          <w:szCs w:val="24"/>
          <w:lang w:eastAsia="cs-CZ"/>
        </w:rPr>
      </w:pPr>
      <w:r>
        <w:rPr>
          <w:rFonts w:ascii="Times New Roman" w:hAnsi="Times New Roman" w:cs="Times New Roman"/>
          <w:sz w:val="24"/>
          <w:szCs w:val="24"/>
          <w:lang w:eastAsia="cs-CZ"/>
        </w:rPr>
        <w:sym w:font="Symbol" w:char="F0B7"/>
      </w:r>
      <w:r>
        <w:rPr>
          <w:rFonts w:ascii="Times New Roman" w:hAnsi="Times New Roman" w:cs="Times New Roman"/>
          <w:sz w:val="24"/>
          <w:szCs w:val="24"/>
          <w:lang w:eastAsia="cs-CZ"/>
        </w:rPr>
        <w:t xml:space="preserve"> Telmisartan, atypický antagonista receptoru angiotensinu II se zjevnými vlastnostmi částečného agonisty PPARδ receptoru (zakázaného podle S4.5.b), byl přidán do monitorovacího programu s cílem posoudit zneužívání této látky. </w:t>
      </w:r>
    </w:p>
    <w:p w:rsidR="00DF46C7" w:rsidRDefault="00DF46C7" w:rsidP="00C75977">
      <w:pPr>
        <w:autoSpaceDE w:val="0"/>
        <w:autoSpaceDN w:val="0"/>
        <w:adjustRightInd w:val="0"/>
        <w:spacing w:after="0" w:line="240" w:lineRule="auto"/>
        <w:jc w:val="both"/>
        <w:rPr>
          <w:rFonts w:ascii="Times New Roman" w:hAnsi="Times New Roman" w:cs="Times New Roman"/>
          <w:sz w:val="24"/>
          <w:szCs w:val="24"/>
          <w:lang w:eastAsia="cs-CZ"/>
        </w:rPr>
      </w:pPr>
      <w:r>
        <w:rPr>
          <w:rFonts w:ascii="Times New Roman" w:hAnsi="Times New Roman" w:cs="Times New Roman"/>
          <w:sz w:val="24"/>
          <w:szCs w:val="24"/>
          <w:lang w:eastAsia="cs-CZ"/>
        </w:rPr>
        <w:sym w:font="Symbol" w:char="F0B7"/>
      </w:r>
      <w:r>
        <w:rPr>
          <w:rFonts w:ascii="Times New Roman" w:hAnsi="Times New Roman" w:cs="Times New Roman"/>
          <w:sz w:val="24"/>
          <w:szCs w:val="24"/>
          <w:lang w:eastAsia="cs-CZ"/>
        </w:rPr>
        <w:t xml:space="preserve"> Meldonium, látka s možným dopadem na srdeční činnost, byla přidána do monitorovacího programu s cílem posoudit zneužívání této látky. </w:t>
      </w:r>
    </w:p>
    <w:p w:rsidR="00DF46C7" w:rsidRDefault="00DF46C7" w:rsidP="00C75977">
      <w:pPr>
        <w:autoSpaceDE w:val="0"/>
        <w:autoSpaceDN w:val="0"/>
        <w:adjustRightInd w:val="0"/>
        <w:spacing w:after="0" w:line="240" w:lineRule="auto"/>
        <w:jc w:val="both"/>
        <w:rPr>
          <w:rFonts w:ascii="Times New Roman" w:hAnsi="Times New Roman" w:cs="Times New Roman"/>
          <w:sz w:val="24"/>
          <w:szCs w:val="24"/>
          <w:lang w:eastAsia="cs-CZ"/>
        </w:rPr>
      </w:pPr>
    </w:p>
    <w:p w:rsidR="00DF46C7" w:rsidRDefault="00DF46C7" w:rsidP="00C75977"/>
    <w:p w:rsidR="00DF46C7" w:rsidRPr="001F2C4E" w:rsidRDefault="00DF46C7" w:rsidP="001F2C4E">
      <w:pPr>
        <w:shd w:val="clear" w:color="auto" w:fill="F9EDBE"/>
        <w:spacing w:after="90" w:line="240" w:lineRule="auto"/>
        <w:textAlignment w:val="top"/>
        <w:rPr>
          <w:rFonts w:ascii="Arial" w:hAnsi="Arial" w:cs="Arial"/>
          <w:vanish/>
          <w:color w:val="222222"/>
          <w:sz w:val="20"/>
          <w:szCs w:val="20"/>
          <w:lang w:eastAsia="cs-CZ"/>
        </w:rPr>
      </w:pPr>
      <w:r w:rsidRPr="001F2C4E">
        <w:rPr>
          <w:rFonts w:ascii="Arial" w:hAnsi="Arial" w:cs="Arial"/>
          <w:vanish/>
          <w:color w:val="222222"/>
          <w:sz w:val="20"/>
          <w:szCs w:val="20"/>
          <w:lang w:eastAsia="cs-CZ"/>
        </w:rPr>
        <w:t>Váš příspěvek poslouží ke zlepšení kvality překladu a může být anonymně zobrazen dalším uživatelům.</w:t>
      </w:r>
    </w:p>
    <w:p w:rsidR="00DF46C7" w:rsidRPr="001F2C4E" w:rsidRDefault="00DF46C7" w:rsidP="001F2C4E">
      <w:pPr>
        <w:shd w:val="clear" w:color="auto" w:fill="FFFFFF"/>
        <w:spacing w:after="0" w:line="240" w:lineRule="auto"/>
        <w:textAlignment w:val="top"/>
        <w:rPr>
          <w:rFonts w:ascii="Arial" w:hAnsi="Arial" w:cs="Arial"/>
          <w:vanish/>
          <w:color w:val="777777"/>
          <w:sz w:val="20"/>
          <w:szCs w:val="20"/>
          <w:lang w:eastAsia="cs-CZ"/>
        </w:rPr>
      </w:pPr>
      <w:r w:rsidRPr="001F2C4E">
        <w:rPr>
          <w:rFonts w:ascii="Arial" w:hAnsi="Arial" w:cs="Arial"/>
          <w:vanish/>
          <w:color w:val="777777"/>
          <w:sz w:val="20"/>
          <w:szCs w:val="20"/>
          <w:lang w:eastAsia="cs-CZ"/>
        </w:rPr>
        <w:t>Přispět</w:t>
      </w:r>
    </w:p>
    <w:p w:rsidR="00DF46C7" w:rsidRPr="001F2C4E" w:rsidRDefault="00DF46C7" w:rsidP="001F2C4E">
      <w:pPr>
        <w:shd w:val="clear" w:color="auto" w:fill="FFFFFF"/>
        <w:spacing w:after="0" w:line="240" w:lineRule="auto"/>
        <w:textAlignment w:val="top"/>
        <w:rPr>
          <w:rFonts w:ascii="Arial" w:hAnsi="Arial" w:cs="Arial"/>
          <w:vanish/>
          <w:color w:val="777777"/>
          <w:sz w:val="20"/>
          <w:szCs w:val="20"/>
          <w:lang w:eastAsia="cs-CZ"/>
        </w:rPr>
      </w:pPr>
      <w:r w:rsidRPr="001F2C4E">
        <w:rPr>
          <w:rFonts w:ascii="Arial" w:hAnsi="Arial" w:cs="Arial"/>
          <w:vanish/>
          <w:color w:val="777777"/>
          <w:sz w:val="20"/>
          <w:szCs w:val="20"/>
          <w:lang w:eastAsia="cs-CZ"/>
        </w:rPr>
        <w:t>Zavřít</w:t>
      </w:r>
    </w:p>
    <w:p w:rsidR="00DF46C7" w:rsidRPr="001F2C4E" w:rsidRDefault="00DF46C7" w:rsidP="001F2C4E">
      <w:pPr>
        <w:shd w:val="clear" w:color="auto" w:fill="F9EDBE"/>
        <w:spacing w:after="0" w:line="435" w:lineRule="atLeast"/>
        <w:jc w:val="center"/>
        <w:textAlignment w:val="top"/>
        <w:rPr>
          <w:rFonts w:ascii="Arial" w:hAnsi="Arial" w:cs="Arial"/>
          <w:vanish/>
          <w:color w:val="222222"/>
          <w:sz w:val="20"/>
          <w:szCs w:val="20"/>
          <w:lang w:eastAsia="cs-CZ"/>
        </w:rPr>
      </w:pPr>
      <w:r w:rsidRPr="001F2C4E">
        <w:rPr>
          <w:rFonts w:ascii="Arial" w:hAnsi="Arial" w:cs="Arial"/>
          <w:vanish/>
          <w:color w:val="222222"/>
          <w:sz w:val="20"/>
          <w:szCs w:val="20"/>
          <w:lang w:eastAsia="cs-CZ"/>
        </w:rPr>
        <w:t>Děkujeme vám za příspěvek.</w:t>
      </w:r>
    </w:p>
    <w:p w:rsidR="00DF46C7" w:rsidRPr="001F2C4E" w:rsidRDefault="00DF46C7" w:rsidP="001F2C4E">
      <w:pPr>
        <w:shd w:val="clear" w:color="auto" w:fill="FFFFFF"/>
        <w:spacing w:after="0" w:line="240" w:lineRule="auto"/>
        <w:textAlignment w:val="top"/>
        <w:rPr>
          <w:rFonts w:ascii="Arial" w:hAnsi="Arial" w:cs="Arial"/>
          <w:vanish/>
          <w:color w:val="777777"/>
          <w:sz w:val="24"/>
          <w:szCs w:val="24"/>
          <w:lang w:eastAsia="cs-CZ"/>
        </w:rPr>
      </w:pPr>
      <w:r w:rsidRPr="001F2C4E">
        <w:rPr>
          <w:rFonts w:ascii="Arial" w:hAnsi="Arial" w:cs="Arial"/>
          <w:vanish/>
          <w:color w:val="777777"/>
          <w:sz w:val="24"/>
          <w:szCs w:val="24"/>
          <w:lang w:eastAsia="cs-CZ"/>
        </w:rPr>
        <w:t xml:space="preserve">Definice výrazu </w:t>
      </w:r>
      <w:r w:rsidRPr="001F2C4E">
        <w:rPr>
          <w:rFonts w:ascii="Arial" w:hAnsi="Arial" w:cs="Arial"/>
          <w:vanish/>
          <w:color w:val="222222"/>
          <w:sz w:val="24"/>
          <w:szCs w:val="24"/>
          <w:lang w:eastAsia="cs-CZ"/>
        </w:rPr>
        <w:t xml:space="preserve">The title of this section has been changed: Mimetics have been added to the title to reflect the fact that synthetic analogs are also prohibited under this section. </w:t>
      </w:r>
      <w:r w:rsidRPr="001F2C4E">
        <w:rPr>
          <w:rFonts w:ascii="Arial" w:hAnsi="Arial" w:cs="Arial"/>
          <w:vanish/>
          <w:color w:val="222222"/>
          <w:sz w:val="24"/>
          <w:szCs w:val="24"/>
          <w:lang w:eastAsia="cs-CZ"/>
        </w:rPr>
        <w:sym w:font="Symbol" w:char="F0B7"/>
      </w:r>
      <w:r w:rsidRPr="001F2C4E">
        <w:rPr>
          <w:rFonts w:ascii="Arial" w:hAnsi="Arial" w:cs="Arial"/>
          <w:vanish/>
          <w:color w:val="222222"/>
          <w:sz w:val="24"/>
          <w:szCs w:val="24"/>
          <w:lang w:eastAsia="cs-CZ"/>
        </w:rPr>
        <w:t xml:space="preserve"> Please note that all the substances named as examples in this revised section of the 2015 Prohibited List where already considered prohibited under previous Prohibited Lists, as applicable. </w:t>
      </w:r>
      <w:r w:rsidRPr="001F2C4E">
        <w:rPr>
          <w:rFonts w:ascii="Arial" w:hAnsi="Arial" w:cs="Arial"/>
          <w:vanish/>
          <w:color w:val="222222"/>
          <w:sz w:val="24"/>
          <w:szCs w:val="24"/>
          <w:lang w:eastAsia="cs-CZ"/>
        </w:rPr>
        <w:sym w:font="Symbol" w:char="F0B7"/>
      </w:r>
      <w:r w:rsidRPr="001F2C4E">
        <w:rPr>
          <w:rFonts w:ascii="Arial" w:hAnsi="Arial" w:cs="Arial"/>
          <w:vanish/>
          <w:color w:val="222222"/>
          <w:sz w:val="24"/>
          <w:szCs w:val="24"/>
          <w:lang w:eastAsia="cs-CZ"/>
        </w:rPr>
        <w:t xml:space="preserve"> The ESA sub-section has been expanded by adding the non-erythropoietic EPO-Receptor agonists. </w:t>
      </w:r>
      <w:r w:rsidRPr="001F2C4E">
        <w:rPr>
          <w:rFonts w:ascii="Arial" w:hAnsi="Arial" w:cs="Arial"/>
          <w:vanish/>
          <w:color w:val="222222"/>
          <w:sz w:val="24"/>
          <w:szCs w:val="24"/>
          <w:lang w:eastAsia="cs-CZ"/>
        </w:rPr>
        <w:sym w:font="Symbol" w:char="F0B7"/>
      </w:r>
      <w:r w:rsidRPr="001F2C4E">
        <w:rPr>
          <w:rFonts w:ascii="Arial" w:hAnsi="Arial" w:cs="Arial"/>
          <w:vanish/>
          <w:color w:val="222222"/>
          <w:sz w:val="24"/>
          <w:szCs w:val="24"/>
          <w:lang w:eastAsia="cs-CZ"/>
        </w:rPr>
        <w:t xml:space="preserve"> In addition, the HIF stabilizer sub-section has been placed in a separate paragraph to highlight the growing importance of these drugs and to specifically identify HIF activators such as xenon and argon. Note that cyanocobalamin (vitamin B12) is not prohibited. </w:t>
      </w:r>
      <w:r w:rsidRPr="001F2C4E">
        <w:rPr>
          <w:rFonts w:ascii="Arial" w:hAnsi="Arial" w:cs="Arial"/>
          <w:vanish/>
          <w:color w:val="222222"/>
          <w:sz w:val="24"/>
          <w:szCs w:val="24"/>
          <w:lang w:eastAsia="cs-CZ"/>
        </w:rPr>
        <w:sym w:font="Symbol" w:char="F0B7"/>
      </w:r>
      <w:r w:rsidRPr="001F2C4E">
        <w:rPr>
          <w:rFonts w:ascii="Arial" w:hAnsi="Arial" w:cs="Arial"/>
          <w:vanish/>
          <w:color w:val="222222"/>
          <w:sz w:val="24"/>
          <w:szCs w:val="24"/>
          <w:lang w:eastAsia="cs-CZ"/>
        </w:rPr>
        <w:t xml:space="preserve"> Examples of Chorionic Gonadotrophin (CG) and Luteinizing Hormone (LH) releasing factors have now been identified. </w:t>
      </w:r>
      <w:r w:rsidRPr="001F2C4E">
        <w:rPr>
          <w:rFonts w:ascii="Arial" w:hAnsi="Arial" w:cs="Arial"/>
          <w:vanish/>
          <w:color w:val="222222"/>
          <w:sz w:val="24"/>
          <w:szCs w:val="24"/>
          <w:lang w:eastAsia="cs-CZ"/>
        </w:rPr>
        <w:sym w:font="Symbol" w:char="F0B7"/>
      </w:r>
      <w:r w:rsidRPr="001F2C4E">
        <w:rPr>
          <w:rFonts w:ascii="Arial" w:hAnsi="Arial" w:cs="Arial"/>
          <w:vanish/>
          <w:color w:val="222222"/>
          <w:sz w:val="24"/>
          <w:szCs w:val="24"/>
          <w:lang w:eastAsia="cs-CZ"/>
        </w:rPr>
        <w:t xml:space="preserve"> A Corticotrophin releasing factor has now been added as an example. </w:t>
      </w:r>
      <w:r w:rsidRPr="001F2C4E">
        <w:rPr>
          <w:rFonts w:ascii="Arial" w:hAnsi="Arial" w:cs="Arial"/>
          <w:vanish/>
          <w:color w:val="222222"/>
          <w:sz w:val="24"/>
          <w:szCs w:val="24"/>
          <w:lang w:eastAsia="cs-CZ"/>
        </w:rPr>
        <w:sym w:font="Symbol" w:char="F0B7"/>
      </w:r>
      <w:r w:rsidRPr="001F2C4E">
        <w:rPr>
          <w:rFonts w:ascii="Arial" w:hAnsi="Arial" w:cs="Arial"/>
          <w:vanish/>
          <w:color w:val="222222"/>
          <w:sz w:val="24"/>
          <w:szCs w:val="24"/>
          <w:lang w:eastAsia="cs-CZ"/>
        </w:rPr>
        <w:t xml:space="preserve"> GH releasing factors have been divided in a more precise categorization and several examples of each have been added to illustrate their different pharmacological properties. </w:t>
      </w:r>
      <w:r w:rsidRPr="001F2C4E">
        <w:rPr>
          <w:rFonts w:ascii="Arial" w:hAnsi="Arial" w:cs="Arial"/>
          <w:vanish/>
          <w:color w:val="222222"/>
          <w:sz w:val="24"/>
          <w:szCs w:val="24"/>
          <w:lang w:eastAsia="cs-CZ"/>
        </w:rPr>
        <w:sym w:font="Symbol" w:char="F0B7"/>
      </w:r>
      <w:r w:rsidRPr="001F2C4E">
        <w:rPr>
          <w:rFonts w:ascii="Arial" w:hAnsi="Arial" w:cs="Arial"/>
          <w:vanish/>
          <w:color w:val="222222"/>
          <w:sz w:val="24"/>
          <w:szCs w:val="24"/>
          <w:lang w:eastAsia="cs-CZ"/>
        </w:rPr>
        <w:t xml:space="preserve"> IGF-1 has been moved to the other growth factor section. </w:t>
      </w:r>
      <w:r w:rsidRPr="001F2C4E">
        <w:rPr>
          <w:rFonts w:ascii="Arial" w:hAnsi="Arial" w:cs="Arial"/>
          <w:vanish/>
          <w:color w:val="222222"/>
          <w:sz w:val="24"/>
          <w:szCs w:val="24"/>
          <w:lang w:eastAsia="cs-CZ"/>
        </w:rPr>
        <w:sym w:font="Symbol" w:char="F0B7"/>
      </w:r>
      <w:r w:rsidRPr="001F2C4E">
        <w:rPr>
          <w:rFonts w:ascii="Arial" w:hAnsi="Arial" w:cs="Arial"/>
          <w:vanish/>
          <w:color w:val="222222"/>
          <w:sz w:val="24"/>
          <w:szCs w:val="24"/>
          <w:lang w:eastAsia="cs-CZ"/>
        </w:rPr>
        <w:t xml:space="preserve"> Note that Platelet Derived Plasma preparations are not prohibited.</w:t>
      </w:r>
    </w:p>
    <w:p w:rsidR="00DF46C7" w:rsidRPr="001F2C4E" w:rsidRDefault="00DF46C7" w:rsidP="001F2C4E">
      <w:pPr>
        <w:shd w:val="clear" w:color="auto" w:fill="FFFFFF"/>
        <w:spacing w:after="0" w:line="240" w:lineRule="auto"/>
        <w:textAlignment w:val="top"/>
        <w:rPr>
          <w:rFonts w:ascii="Arial" w:hAnsi="Arial" w:cs="Arial"/>
          <w:i/>
          <w:iCs/>
          <w:vanish/>
          <w:color w:val="777777"/>
          <w:sz w:val="20"/>
          <w:szCs w:val="20"/>
          <w:lang w:eastAsia="cs-CZ"/>
        </w:rPr>
      </w:pPr>
      <w:r w:rsidRPr="001F2C4E">
        <w:rPr>
          <w:rFonts w:ascii="Arial" w:hAnsi="Arial" w:cs="Arial"/>
          <w:i/>
          <w:iCs/>
          <w:vanish/>
          <w:color w:val="777777"/>
          <w:sz w:val="20"/>
          <w:szCs w:val="20"/>
          <w:lang w:eastAsia="cs-CZ"/>
        </w:rPr>
        <w:t>přídavné jméno</w:t>
      </w:r>
    </w:p>
    <w:p w:rsidR="00DF46C7" w:rsidRPr="001F2C4E" w:rsidRDefault="00DF46C7" w:rsidP="001F2C4E">
      <w:pPr>
        <w:shd w:val="clear" w:color="auto" w:fill="FFFFFF"/>
        <w:spacing w:after="0" w:line="240" w:lineRule="auto"/>
        <w:textAlignment w:val="top"/>
        <w:rPr>
          <w:rFonts w:ascii="Arial" w:hAnsi="Arial" w:cs="Arial"/>
          <w:vanish/>
          <w:color w:val="222222"/>
          <w:sz w:val="20"/>
          <w:szCs w:val="20"/>
          <w:lang w:eastAsia="cs-CZ"/>
        </w:rPr>
      </w:pPr>
      <w:r w:rsidRPr="001F2C4E">
        <w:rPr>
          <w:rFonts w:ascii="Arial" w:hAnsi="Arial" w:cs="Arial"/>
          <w:vanish/>
          <w:color w:val="222222"/>
          <w:sz w:val="20"/>
          <w:szCs w:val="20"/>
          <w:lang w:eastAsia="cs-CZ"/>
        </w:rPr>
        <w:t>relating to, constituting, or habitually practicing mimesis.</w:t>
      </w:r>
    </w:p>
    <w:p w:rsidR="00DF46C7" w:rsidRPr="001F2C4E" w:rsidRDefault="00DF46C7" w:rsidP="001F2C4E">
      <w:pPr>
        <w:shd w:val="clear" w:color="auto" w:fill="FFFFFF"/>
        <w:spacing w:after="180" w:line="240" w:lineRule="auto"/>
        <w:textAlignment w:val="top"/>
        <w:rPr>
          <w:rFonts w:ascii="Arial" w:hAnsi="Arial" w:cs="Arial"/>
          <w:vanish/>
          <w:color w:val="777777"/>
          <w:sz w:val="20"/>
          <w:szCs w:val="20"/>
          <w:lang w:eastAsia="cs-CZ"/>
        </w:rPr>
      </w:pPr>
      <w:r w:rsidRPr="001F2C4E">
        <w:rPr>
          <w:rFonts w:ascii="Arial" w:hAnsi="Arial" w:cs="Arial"/>
          <w:vanish/>
          <w:color w:val="777777"/>
          <w:sz w:val="20"/>
          <w:szCs w:val="20"/>
          <w:lang w:eastAsia="cs-CZ"/>
        </w:rPr>
        <w:t>"mimetic patterns in butterflies"</w:t>
      </w:r>
    </w:p>
    <w:p w:rsidR="00DF46C7" w:rsidRPr="001F2C4E" w:rsidRDefault="00DF46C7" w:rsidP="001F2C4E">
      <w:pPr>
        <w:shd w:val="clear" w:color="auto" w:fill="FFFFFF"/>
        <w:spacing w:line="240" w:lineRule="auto"/>
        <w:textAlignment w:val="top"/>
        <w:rPr>
          <w:rFonts w:ascii="Arial" w:hAnsi="Arial" w:cs="Arial"/>
          <w:vanish/>
          <w:color w:val="777777"/>
          <w:sz w:val="20"/>
          <w:szCs w:val="20"/>
          <w:lang w:eastAsia="cs-CZ"/>
        </w:rPr>
      </w:pPr>
      <w:r w:rsidRPr="001F2C4E">
        <w:rPr>
          <w:rFonts w:ascii="Arial" w:hAnsi="Arial" w:cs="Arial"/>
          <w:vanish/>
          <w:color w:val="777777"/>
          <w:sz w:val="20"/>
          <w:szCs w:val="20"/>
          <w:lang w:eastAsia="cs-CZ"/>
        </w:rPr>
        <w:t>Další definice (1)</w:t>
      </w:r>
    </w:p>
    <w:p w:rsidR="00DF46C7" w:rsidRPr="001F2C4E" w:rsidRDefault="00DF46C7" w:rsidP="001F2C4E">
      <w:pPr>
        <w:shd w:val="clear" w:color="auto" w:fill="FFFFFF"/>
        <w:spacing w:after="0" w:line="240" w:lineRule="auto"/>
        <w:textAlignment w:val="top"/>
        <w:rPr>
          <w:rFonts w:ascii="Arial" w:hAnsi="Arial" w:cs="Arial"/>
          <w:vanish/>
          <w:color w:val="777777"/>
          <w:sz w:val="24"/>
          <w:szCs w:val="24"/>
          <w:lang w:eastAsia="cs-CZ"/>
        </w:rPr>
      </w:pPr>
      <w:r w:rsidRPr="001F2C4E">
        <w:rPr>
          <w:rFonts w:ascii="Arial" w:hAnsi="Arial" w:cs="Arial"/>
          <w:vanish/>
          <w:color w:val="777777"/>
          <w:sz w:val="24"/>
          <w:szCs w:val="24"/>
          <w:lang w:eastAsia="cs-CZ"/>
        </w:rPr>
        <w:t xml:space="preserve">Synonyma výrazu </w:t>
      </w:r>
      <w:r w:rsidRPr="001F2C4E">
        <w:rPr>
          <w:rFonts w:ascii="Arial" w:hAnsi="Arial" w:cs="Arial"/>
          <w:vanish/>
          <w:color w:val="222222"/>
          <w:sz w:val="24"/>
          <w:szCs w:val="24"/>
          <w:lang w:eastAsia="cs-CZ"/>
        </w:rPr>
        <w:t xml:space="preserve">The title of this section has been changed: Mimetics have been added to the title to reflect the fact that synthetic analogs are also prohibited under this section. </w:t>
      </w:r>
      <w:r w:rsidRPr="001F2C4E">
        <w:rPr>
          <w:rFonts w:ascii="Arial" w:hAnsi="Arial" w:cs="Arial"/>
          <w:vanish/>
          <w:color w:val="222222"/>
          <w:sz w:val="24"/>
          <w:szCs w:val="24"/>
          <w:lang w:eastAsia="cs-CZ"/>
        </w:rPr>
        <w:sym w:font="Symbol" w:char="F0B7"/>
      </w:r>
      <w:r w:rsidRPr="001F2C4E">
        <w:rPr>
          <w:rFonts w:ascii="Arial" w:hAnsi="Arial" w:cs="Arial"/>
          <w:vanish/>
          <w:color w:val="222222"/>
          <w:sz w:val="24"/>
          <w:szCs w:val="24"/>
          <w:lang w:eastAsia="cs-CZ"/>
        </w:rPr>
        <w:t xml:space="preserve"> Please note that all the substances named as examples in this revised section of the 2015 Prohibited List where already considered prohibited under previous Prohibited Lists, as applicable. </w:t>
      </w:r>
      <w:r w:rsidRPr="001F2C4E">
        <w:rPr>
          <w:rFonts w:ascii="Arial" w:hAnsi="Arial" w:cs="Arial"/>
          <w:vanish/>
          <w:color w:val="222222"/>
          <w:sz w:val="24"/>
          <w:szCs w:val="24"/>
          <w:lang w:eastAsia="cs-CZ"/>
        </w:rPr>
        <w:sym w:font="Symbol" w:char="F0B7"/>
      </w:r>
      <w:r w:rsidRPr="001F2C4E">
        <w:rPr>
          <w:rFonts w:ascii="Arial" w:hAnsi="Arial" w:cs="Arial"/>
          <w:vanish/>
          <w:color w:val="222222"/>
          <w:sz w:val="24"/>
          <w:szCs w:val="24"/>
          <w:lang w:eastAsia="cs-CZ"/>
        </w:rPr>
        <w:t xml:space="preserve"> The ESA sub-section has been expanded by adding the non-erythropoietic EPO-Receptor agonists. </w:t>
      </w:r>
      <w:r w:rsidRPr="001F2C4E">
        <w:rPr>
          <w:rFonts w:ascii="Arial" w:hAnsi="Arial" w:cs="Arial"/>
          <w:vanish/>
          <w:color w:val="222222"/>
          <w:sz w:val="24"/>
          <w:szCs w:val="24"/>
          <w:lang w:eastAsia="cs-CZ"/>
        </w:rPr>
        <w:sym w:font="Symbol" w:char="F0B7"/>
      </w:r>
      <w:r w:rsidRPr="001F2C4E">
        <w:rPr>
          <w:rFonts w:ascii="Arial" w:hAnsi="Arial" w:cs="Arial"/>
          <w:vanish/>
          <w:color w:val="222222"/>
          <w:sz w:val="24"/>
          <w:szCs w:val="24"/>
          <w:lang w:eastAsia="cs-CZ"/>
        </w:rPr>
        <w:t xml:space="preserve"> In addition, the HIF stabilizer sub-section has been placed in a separate paragraph to highlight the growing importance of these drugs and to specifically identify HIF activators such as xenon and argon. Note that cyanocobalamin (vitamin B12) is not prohibited. </w:t>
      </w:r>
      <w:r w:rsidRPr="001F2C4E">
        <w:rPr>
          <w:rFonts w:ascii="Arial" w:hAnsi="Arial" w:cs="Arial"/>
          <w:vanish/>
          <w:color w:val="222222"/>
          <w:sz w:val="24"/>
          <w:szCs w:val="24"/>
          <w:lang w:eastAsia="cs-CZ"/>
        </w:rPr>
        <w:sym w:font="Symbol" w:char="F0B7"/>
      </w:r>
      <w:r w:rsidRPr="001F2C4E">
        <w:rPr>
          <w:rFonts w:ascii="Arial" w:hAnsi="Arial" w:cs="Arial"/>
          <w:vanish/>
          <w:color w:val="222222"/>
          <w:sz w:val="24"/>
          <w:szCs w:val="24"/>
          <w:lang w:eastAsia="cs-CZ"/>
        </w:rPr>
        <w:t xml:space="preserve"> Examples of Chorionic Gonadotrophin (CG) and Luteinizing Hormone (LH) releasing factors have now been identified. </w:t>
      </w:r>
      <w:r w:rsidRPr="001F2C4E">
        <w:rPr>
          <w:rFonts w:ascii="Arial" w:hAnsi="Arial" w:cs="Arial"/>
          <w:vanish/>
          <w:color w:val="222222"/>
          <w:sz w:val="24"/>
          <w:szCs w:val="24"/>
          <w:lang w:eastAsia="cs-CZ"/>
        </w:rPr>
        <w:sym w:font="Symbol" w:char="F0B7"/>
      </w:r>
      <w:r w:rsidRPr="001F2C4E">
        <w:rPr>
          <w:rFonts w:ascii="Arial" w:hAnsi="Arial" w:cs="Arial"/>
          <w:vanish/>
          <w:color w:val="222222"/>
          <w:sz w:val="24"/>
          <w:szCs w:val="24"/>
          <w:lang w:eastAsia="cs-CZ"/>
        </w:rPr>
        <w:t xml:space="preserve"> A Corticotrophin releasing factor has now been added as an example. </w:t>
      </w:r>
      <w:r w:rsidRPr="001F2C4E">
        <w:rPr>
          <w:rFonts w:ascii="Arial" w:hAnsi="Arial" w:cs="Arial"/>
          <w:vanish/>
          <w:color w:val="222222"/>
          <w:sz w:val="24"/>
          <w:szCs w:val="24"/>
          <w:lang w:eastAsia="cs-CZ"/>
        </w:rPr>
        <w:sym w:font="Symbol" w:char="F0B7"/>
      </w:r>
      <w:r w:rsidRPr="001F2C4E">
        <w:rPr>
          <w:rFonts w:ascii="Arial" w:hAnsi="Arial" w:cs="Arial"/>
          <w:vanish/>
          <w:color w:val="222222"/>
          <w:sz w:val="24"/>
          <w:szCs w:val="24"/>
          <w:lang w:eastAsia="cs-CZ"/>
        </w:rPr>
        <w:t xml:space="preserve"> GH releasing factors have been divided in a more precise categorization and several examples of each have been added to illustrate their different pharmacological properties. </w:t>
      </w:r>
      <w:r w:rsidRPr="001F2C4E">
        <w:rPr>
          <w:rFonts w:ascii="Arial" w:hAnsi="Arial" w:cs="Arial"/>
          <w:vanish/>
          <w:color w:val="222222"/>
          <w:sz w:val="24"/>
          <w:szCs w:val="24"/>
          <w:lang w:eastAsia="cs-CZ"/>
        </w:rPr>
        <w:sym w:font="Symbol" w:char="F0B7"/>
      </w:r>
      <w:r w:rsidRPr="001F2C4E">
        <w:rPr>
          <w:rFonts w:ascii="Arial" w:hAnsi="Arial" w:cs="Arial"/>
          <w:vanish/>
          <w:color w:val="222222"/>
          <w:sz w:val="24"/>
          <w:szCs w:val="24"/>
          <w:lang w:eastAsia="cs-CZ"/>
        </w:rPr>
        <w:t xml:space="preserve"> IGF-1 has been moved to the other growth factor section. </w:t>
      </w:r>
      <w:r w:rsidRPr="001F2C4E">
        <w:rPr>
          <w:rFonts w:ascii="Arial" w:hAnsi="Arial" w:cs="Arial"/>
          <w:vanish/>
          <w:color w:val="222222"/>
          <w:sz w:val="24"/>
          <w:szCs w:val="24"/>
          <w:lang w:eastAsia="cs-CZ"/>
        </w:rPr>
        <w:sym w:font="Symbol" w:char="F0B7"/>
      </w:r>
      <w:r w:rsidRPr="001F2C4E">
        <w:rPr>
          <w:rFonts w:ascii="Arial" w:hAnsi="Arial" w:cs="Arial"/>
          <w:vanish/>
          <w:color w:val="222222"/>
          <w:sz w:val="24"/>
          <w:szCs w:val="24"/>
          <w:lang w:eastAsia="cs-CZ"/>
        </w:rPr>
        <w:t xml:space="preserve"> Note that Platelet Derived Plasma preparations are not prohibited.</w:t>
      </w:r>
    </w:p>
    <w:p w:rsidR="00DF46C7" w:rsidRPr="001F2C4E" w:rsidRDefault="00DF46C7" w:rsidP="001F2C4E">
      <w:pPr>
        <w:shd w:val="clear" w:color="auto" w:fill="FFFFFF"/>
        <w:spacing w:after="0" w:line="240" w:lineRule="auto"/>
        <w:textAlignment w:val="top"/>
        <w:rPr>
          <w:rFonts w:ascii="Arial" w:hAnsi="Arial" w:cs="Arial"/>
          <w:i/>
          <w:iCs/>
          <w:vanish/>
          <w:color w:val="777777"/>
          <w:sz w:val="20"/>
          <w:szCs w:val="20"/>
          <w:lang w:eastAsia="cs-CZ"/>
        </w:rPr>
      </w:pPr>
      <w:r w:rsidRPr="001F2C4E">
        <w:rPr>
          <w:rFonts w:ascii="Arial" w:hAnsi="Arial" w:cs="Arial"/>
          <w:i/>
          <w:iCs/>
          <w:vanish/>
          <w:color w:val="777777"/>
          <w:sz w:val="20"/>
          <w:szCs w:val="20"/>
          <w:lang w:eastAsia="cs-CZ"/>
        </w:rPr>
        <w:t>podstatné jméno</w:t>
      </w:r>
    </w:p>
    <w:p w:rsidR="00DF46C7" w:rsidRPr="001F2C4E" w:rsidRDefault="00DF46C7" w:rsidP="001F2C4E">
      <w:pPr>
        <w:shd w:val="clear" w:color="auto" w:fill="FFFFFF"/>
        <w:spacing w:after="180" w:line="240" w:lineRule="auto"/>
        <w:ind w:left="960"/>
        <w:textAlignment w:val="top"/>
        <w:rPr>
          <w:rFonts w:ascii="Arial" w:hAnsi="Arial" w:cs="Arial"/>
          <w:vanish/>
          <w:color w:val="777777"/>
          <w:sz w:val="20"/>
          <w:szCs w:val="20"/>
          <w:lang w:eastAsia="cs-CZ"/>
        </w:rPr>
      </w:pPr>
      <w:r w:rsidRPr="001F2C4E">
        <w:rPr>
          <w:rFonts w:ascii="Arial" w:hAnsi="Arial" w:cs="Arial"/>
          <w:vanish/>
          <w:color w:val="222222"/>
          <w:sz w:val="20"/>
          <w:szCs w:val="20"/>
          <w:lang w:eastAsia="cs-CZ"/>
        </w:rPr>
        <w:t>pantomime, mimer, dumb show</w:t>
      </w:r>
    </w:p>
    <w:p w:rsidR="00DF46C7" w:rsidRPr="001F2C4E" w:rsidRDefault="00DF46C7" w:rsidP="001F2C4E">
      <w:pPr>
        <w:numPr>
          <w:ilvl w:val="0"/>
          <w:numId w:val="1"/>
        </w:numPr>
        <w:shd w:val="clear" w:color="auto" w:fill="FFFFFF"/>
        <w:spacing w:before="100" w:beforeAutospacing="1" w:after="100" w:afterAutospacing="1" w:line="240" w:lineRule="auto"/>
        <w:ind w:left="960" w:right="240"/>
        <w:textAlignment w:val="top"/>
        <w:rPr>
          <w:rFonts w:ascii="Arial" w:hAnsi="Arial" w:cs="Arial"/>
          <w:vanish/>
          <w:color w:val="777777"/>
          <w:sz w:val="20"/>
          <w:szCs w:val="20"/>
          <w:lang w:eastAsia="cs-CZ"/>
        </w:rPr>
      </w:pPr>
      <w:r w:rsidRPr="001F2C4E">
        <w:rPr>
          <w:rFonts w:ascii="Arial" w:hAnsi="Arial" w:cs="Arial"/>
          <w:vanish/>
          <w:color w:val="222222"/>
          <w:sz w:val="20"/>
          <w:szCs w:val="20"/>
          <w:lang w:eastAsia="cs-CZ"/>
        </w:rPr>
        <w:t>pantomime, charade, dumb show</w:t>
      </w:r>
    </w:p>
    <w:p w:rsidR="00DF46C7" w:rsidRPr="001F2C4E" w:rsidRDefault="00DF46C7" w:rsidP="001F2C4E">
      <w:pPr>
        <w:numPr>
          <w:ilvl w:val="0"/>
          <w:numId w:val="1"/>
        </w:numPr>
        <w:shd w:val="clear" w:color="auto" w:fill="FFFFFF"/>
        <w:spacing w:before="100" w:beforeAutospacing="1" w:after="100" w:afterAutospacing="1" w:line="240" w:lineRule="auto"/>
        <w:ind w:left="960" w:right="240"/>
        <w:textAlignment w:val="top"/>
        <w:rPr>
          <w:rFonts w:ascii="Arial" w:hAnsi="Arial" w:cs="Arial"/>
          <w:vanish/>
          <w:color w:val="777777"/>
          <w:sz w:val="20"/>
          <w:szCs w:val="20"/>
          <w:lang w:eastAsia="cs-CZ"/>
        </w:rPr>
      </w:pPr>
      <w:r w:rsidRPr="001F2C4E">
        <w:rPr>
          <w:rFonts w:ascii="Arial" w:hAnsi="Arial" w:cs="Arial"/>
          <w:vanish/>
          <w:color w:val="222222"/>
          <w:sz w:val="20"/>
          <w:szCs w:val="20"/>
          <w:lang w:eastAsia="cs-CZ"/>
        </w:rPr>
        <w:t>mimer, mummer, pantomimist</w:t>
      </w:r>
    </w:p>
    <w:p w:rsidR="00DF46C7" w:rsidRPr="001F2C4E" w:rsidRDefault="00DF46C7" w:rsidP="001F2C4E">
      <w:pPr>
        <w:numPr>
          <w:ilvl w:val="0"/>
          <w:numId w:val="1"/>
        </w:numPr>
        <w:shd w:val="clear" w:color="auto" w:fill="FFFFFF"/>
        <w:spacing w:before="100" w:beforeAutospacing="1" w:after="100" w:afterAutospacing="1" w:line="240" w:lineRule="auto"/>
        <w:ind w:left="960" w:right="240"/>
        <w:textAlignment w:val="top"/>
        <w:rPr>
          <w:rFonts w:ascii="Arial" w:hAnsi="Arial" w:cs="Arial"/>
          <w:vanish/>
          <w:color w:val="777777"/>
          <w:sz w:val="20"/>
          <w:szCs w:val="20"/>
          <w:lang w:eastAsia="cs-CZ"/>
        </w:rPr>
      </w:pPr>
      <w:r w:rsidRPr="001F2C4E">
        <w:rPr>
          <w:rFonts w:ascii="Arial" w:hAnsi="Arial" w:cs="Arial"/>
          <w:vanish/>
          <w:color w:val="222222"/>
          <w:sz w:val="20"/>
          <w:szCs w:val="20"/>
          <w:lang w:eastAsia="cs-CZ"/>
        </w:rPr>
        <w:t>dumb show, pantomime</w:t>
      </w:r>
    </w:p>
    <w:p w:rsidR="00DF46C7" w:rsidRPr="001F2C4E" w:rsidRDefault="00DF46C7" w:rsidP="001F2C4E">
      <w:pPr>
        <w:shd w:val="clear" w:color="auto" w:fill="FFFFFF"/>
        <w:spacing w:after="0" w:line="240" w:lineRule="auto"/>
        <w:textAlignment w:val="top"/>
        <w:rPr>
          <w:rFonts w:ascii="Arial" w:hAnsi="Arial" w:cs="Arial"/>
          <w:i/>
          <w:iCs/>
          <w:vanish/>
          <w:color w:val="777777"/>
          <w:sz w:val="20"/>
          <w:szCs w:val="20"/>
          <w:lang w:eastAsia="cs-CZ"/>
        </w:rPr>
      </w:pPr>
      <w:r w:rsidRPr="001F2C4E">
        <w:rPr>
          <w:rFonts w:ascii="Arial" w:hAnsi="Arial" w:cs="Arial"/>
          <w:i/>
          <w:iCs/>
          <w:vanish/>
          <w:color w:val="777777"/>
          <w:sz w:val="20"/>
          <w:szCs w:val="20"/>
          <w:lang w:eastAsia="cs-CZ"/>
        </w:rPr>
        <w:t>sloveso</w:t>
      </w:r>
    </w:p>
    <w:p w:rsidR="00DF46C7" w:rsidRPr="001F2C4E" w:rsidRDefault="00DF46C7" w:rsidP="001F2C4E">
      <w:pPr>
        <w:shd w:val="clear" w:color="auto" w:fill="FFFFFF"/>
        <w:spacing w:after="180" w:line="240" w:lineRule="auto"/>
        <w:ind w:left="960"/>
        <w:textAlignment w:val="top"/>
        <w:rPr>
          <w:rFonts w:ascii="Arial" w:hAnsi="Arial" w:cs="Arial"/>
          <w:vanish/>
          <w:color w:val="777777"/>
          <w:sz w:val="20"/>
          <w:szCs w:val="20"/>
          <w:lang w:eastAsia="cs-CZ"/>
        </w:rPr>
      </w:pPr>
      <w:r w:rsidRPr="001F2C4E">
        <w:rPr>
          <w:rFonts w:ascii="Arial" w:hAnsi="Arial" w:cs="Arial"/>
          <w:vanish/>
          <w:color w:val="222222"/>
          <w:sz w:val="20"/>
          <w:szCs w:val="20"/>
          <w:lang w:eastAsia="cs-CZ"/>
        </w:rPr>
        <w:t>act out, pantomime, mimic</w:t>
      </w:r>
    </w:p>
    <w:p w:rsidR="00DF46C7" w:rsidRPr="001F2C4E" w:rsidRDefault="00DF46C7" w:rsidP="001F2C4E">
      <w:pPr>
        <w:numPr>
          <w:ilvl w:val="0"/>
          <w:numId w:val="2"/>
        </w:numPr>
        <w:shd w:val="clear" w:color="auto" w:fill="FFFFFF"/>
        <w:spacing w:before="100" w:beforeAutospacing="1" w:after="100" w:afterAutospacing="1" w:line="240" w:lineRule="auto"/>
        <w:ind w:left="960" w:right="240"/>
        <w:textAlignment w:val="top"/>
        <w:rPr>
          <w:rFonts w:ascii="Arial" w:hAnsi="Arial" w:cs="Arial"/>
          <w:vanish/>
          <w:color w:val="777777"/>
          <w:sz w:val="20"/>
          <w:szCs w:val="20"/>
          <w:lang w:eastAsia="cs-CZ"/>
        </w:rPr>
      </w:pPr>
      <w:r w:rsidRPr="001F2C4E">
        <w:rPr>
          <w:rFonts w:ascii="Arial" w:hAnsi="Arial" w:cs="Arial"/>
          <w:vanish/>
          <w:color w:val="222222"/>
          <w:sz w:val="20"/>
          <w:szCs w:val="20"/>
          <w:lang w:eastAsia="cs-CZ"/>
        </w:rPr>
        <w:t>act out, pantomime, gesture, simulate, represent</w:t>
      </w:r>
    </w:p>
    <w:p w:rsidR="00DF46C7" w:rsidRPr="001F2C4E" w:rsidRDefault="00DF46C7" w:rsidP="001F2C4E">
      <w:pPr>
        <w:numPr>
          <w:ilvl w:val="0"/>
          <w:numId w:val="2"/>
        </w:numPr>
        <w:shd w:val="clear" w:color="auto" w:fill="FFFFFF"/>
        <w:spacing w:before="100" w:beforeAutospacing="1" w:after="100" w:afterAutospacing="1" w:line="240" w:lineRule="auto"/>
        <w:ind w:left="960" w:right="240"/>
        <w:textAlignment w:val="top"/>
        <w:rPr>
          <w:rFonts w:ascii="Arial" w:hAnsi="Arial" w:cs="Arial"/>
          <w:vanish/>
          <w:color w:val="777777"/>
          <w:sz w:val="20"/>
          <w:szCs w:val="20"/>
          <w:lang w:eastAsia="cs-CZ"/>
        </w:rPr>
      </w:pPr>
      <w:r w:rsidRPr="001F2C4E">
        <w:rPr>
          <w:rFonts w:ascii="Arial" w:hAnsi="Arial" w:cs="Arial"/>
          <w:vanish/>
          <w:color w:val="222222"/>
          <w:sz w:val="20"/>
          <w:szCs w:val="20"/>
          <w:lang w:eastAsia="cs-CZ"/>
        </w:rPr>
        <w:t>pantomime</w:t>
      </w:r>
    </w:p>
    <w:p w:rsidR="00DF46C7" w:rsidRPr="001F2C4E" w:rsidRDefault="00DF46C7" w:rsidP="001F2C4E">
      <w:pPr>
        <w:numPr>
          <w:ilvl w:val="0"/>
          <w:numId w:val="2"/>
        </w:numPr>
        <w:shd w:val="clear" w:color="auto" w:fill="FFFFFF"/>
        <w:spacing w:before="100" w:beforeAutospacing="1" w:after="100" w:afterAutospacing="1" w:line="240" w:lineRule="auto"/>
        <w:ind w:left="960" w:right="240"/>
        <w:textAlignment w:val="top"/>
        <w:rPr>
          <w:rFonts w:ascii="Arial" w:hAnsi="Arial" w:cs="Arial"/>
          <w:vanish/>
          <w:color w:val="777777"/>
          <w:sz w:val="20"/>
          <w:szCs w:val="20"/>
          <w:lang w:eastAsia="cs-CZ"/>
        </w:rPr>
      </w:pPr>
      <w:r w:rsidRPr="001F2C4E">
        <w:rPr>
          <w:rFonts w:ascii="Arial" w:hAnsi="Arial" w:cs="Arial"/>
          <w:vanish/>
          <w:color w:val="222222"/>
          <w:sz w:val="20"/>
          <w:szCs w:val="20"/>
          <w:lang w:eastAsia="cs-CZ"/>
        </w:rPr>
        <w:t>mimic</w:t>
      </w:r>
    </w:p>
    <w:p w:rsidR="00DF46C7" w:rsidRPr="001F2C4E" w:rsidRDefault="00DF46C7" w:rsidP="001F2C4E">
      <w:pPr>
        <w:shd w:val="clear" w:color="auto" w:fill="FFFFFF"/>
        <w:spacing w:line="240" w:lineRule="auto"/>
        <w:textAlignment w:val="top"/>
        <w:rPr>
          <w:rFonts w:ascii="Arial" w:hAnsi="Arial" w:cs="Arial"/>
          <w:vanish/>
          <w:color w:val="777777"/>
          <w:sz w:val="20"/>
          <w:szCs w:val="20"/>
          <w:lang w:eastAsia="cs-CZ"/>
        </w:rPr>
      </w:pPr>
      <w:r w:rsidRPr="001F2C4E">
        <w:rPr>
          <w:rFonts w:ascii="Arial" w:hAnsi="Arial" w:cs="Arial"/>
          <w:vanish/>
          <w:color w:val="777777"/>
          <w:sz w:val="20"/>
          <w:szCs w:val="20"/>
          <w:lang w:eastAsia="cs-CZ"/>
        </w:rPr>
        <w:t>Další synonyma (9)</w:t>
      </w:r>
    </w:p>
    <w:p w:rsidR="00DF46C7" w:rsidRPr="001F2C4E" w:rsidRDefault="00DF46C7" w:rsidP="001F2C4E">
      <w:pPr>
        <w:shd w:val="clear" w:color="auto" w:fill="FFFFFF"/>
        <w:spacing w:after="0" w:line="240" w:lineRule="auto"/>
        <w:textAlignment w:val="top"/>
        <w:rPr>
          <w:rFonts w:ascii="Arial" w:hAnsi="Arial" w:cs="Arial"/>
          <w:vanish/>
          <w:color w:val="777777"/>
          <w:sz w:val="24"/>
          <w:szCs w:val="24"/>
          <w:lang w:eastAsia="cs-CZ"/>
        </w:rPr>
      </w:pPr>
      <w:r w:rsidRPr="001F2C4E">
        <w:rPr>
          <w:rFonts w:ascii="Arial" w:hAnsi="Arial" w:cs="Arial"/>
          <w:vanish/>
          <w:color w:val="777777"/>
          <w:sz w:val="24"/>
          <w:szCs w:val="24"/>
          <w:lang w:eastAsia="cs-CZ"/>
        </w:rPr>
        <w:t xml:space="preserve">Příklady pro výraz </w:t>
      </w:r>
      <w:r w:rsidRPr="001F2C4E">
        <w:rPr>
          <w:rFonts w:ascii="Arial" w:hAnsi="Arial" w:cs="Arial"/>
          <w:vanish/>
          <w:color w:val="222222"/>
          <w:sz w:val="24"/>
          <w:szCs w:val="24"/>
          <w:lang w:eastAsia="cs-CZ"/>
        </w:rPr>
        <w:t xml:space="preserve">The title of this section has been changed: Mimetics have been added to the title to reflect the fact that synthetic analogs are also prohibited under this section. </w:t>
      </w:r>
      <w:r w:rsidRPr="001F2C4E">
        <w:rPr>
          <w:rFonts w:ascii="Arial" w:hAnsi="Arial" w:cs="Arial"/>
          <w:vanish/>
          <w:color w:val="222222"/>
          <w:sz w:val="24"/>
          <w:szCs w:val="24"/>
          <w:lang w:eastAsia="cs-CZ"/>
        </w:rPr>
        <w:sym w:font="Symbol" w:char="F0B7"/>
      </w:r>
      <w:r w:rsidRPr="001F2C4E">
        <w:rPr>
          <w:rFonts w:ascii="Arial" w:hAnsi="Arial" w:cs="Arial"/>
          <w:vanish/>
          <w:color w:val="222222"/>
          <w:sz w:val="24"/>
          <w:szCs w:val="24"/>
          <w:lang w:eastAsia="cs-CZ"/>
        </w:rPr>
        <w:t xml:space="preserve"> Please note that all the substances named as examples in this revised section of the 2015 Prohibited List where already considered prohibited under previous Prohibited Lists, as applicable. </w:t>
      </w:r>
      <w:r w:rsidRPr="001F2C4E">
        <w:rPr>
          <w:rFonts w:ascii="Arial" w:hAnsi="Arial" w:cs="Arial"/>
          <w:vanish/>
          <w:color w:val="222222"/>
          <w:sz w:val="24"/>
          <w:szCs w:val="24"/>
          <w:lang w:eastAsia="cs-CZ"/>
        </w:rPr>
        <w:sym w:font="Symbol" w:char="F0B7"/>
      </w:r>
      <w:r w:rsidRPr="001F2C4E">
        <w:rPr>
          <w:rFonts w:ascii="Arial" w:hAnsi="Arial" w:cs="Arial"/>
          <w:vanish/>
          <w:color w:val="222222"/>
          <w:sz w:val="24"/>
          <w:szCs w:val="24"/>
          <w:lang w:eastAsia="cs-CZ"/>
        </w:rPr>
        <w:t xml:space="preserve"> The ESA sub-section has been expanded by adding the non-erythropoietic EPO-Receptor agonists. </w:t>
      </w:r>
      <w:r w:rsidRPr="001F2C4E">
        <w:rPr>
          <w:rFonts w:ascii="Arial" w:hAnsi="Arial" w:cs="Arial"/>
          <w:vanish/>
          <w:color w:val="222222"/>
          <w:sz w:val="24"/>
          <w:szCs w:val="24"/>
          <w:lang w:eastAsia="cs-CZ"/>
        </w:rPr>
        <w:sym w:font="Symbol" w:char="F0B7"/>
      </w:r>
      <w:r w:rsidRPr="001F2C4E">
        <w:rPr>
          <w:rFonts w:ascii="Arial" w:hAnsi="Arial" w:cs="Arial"/>
          <w:vanish/>
          <w:color w:val="222222"/>
          <w:sz w:val="24"/>
          <w:szCs w:val="24"/>
          <w:lang w:eastAsia="cs-CZ"/>
        </w:rPr>
        <w:t xml:space="preserve"> In addition, the HIF stabilizer sub-section has been placed in a separate paragraph to highlight the growing importance of these drugs and to specifically identify HIF activators such as xenon and argon. Note that cyanocobalamin (vitamin B12) is not prohibited. </w:t>
      </w:r>
      <w:r w:rsidRPr="001F2C4E">
        <w:rPr>
          <w:rFonts w:ascii="Arial" w:hAnsi="Arial" w:cs="Arial"/>
          <w:vanish/>
          <w:color w:val="222222"/>
          <w:sz w:val="24"/>
          <w:szCs w:val="24"/>
          <w:lang w:eastAsia="cs-CZ"/>
        </w:rPr>
        <w:sym w:font="Symbol" w:char="F0B7"/>
      </w:r>
      <w:r w:rsidRPr="001F2C4E">
        <w:rPr>
          <w:rFonts w:ascii="Arial" w:hAnsi="Arial" w:cs="Arial"/>
          <w:vanish/>
          <w:color w:val="222222"/>
          <w:sz w:val="24"/>
          <w:szCs w:val="24"/>
          <w:lang w:eastAsia="cs-CZ"/>
        </w:rPr>
        <w:t xml:space="preserve"> Examples of Chorionic Gonadotrophin (CG) and Luteinizing Hormone (LH) releasing factors have now been identified. </w:t>
      </w:r>
      <w:r w:rsidRPr="001F2C4E">
        <w:rPr>
          <w:rFonts w:ascii="Arial" w:hAnsi="Arial" w:cs="Arial"/>
          <w:vanish/>
          <w:color w:val="222222"/>
          <w:sz w:val="24"/>
          <w:szCs w:val="24"/>
          <w:lang w:eastAsia="cs-CZ"/>
        </w:rPr>
        <w:sym w:font="Symbol" w:char="F0B7"/>
      </w:r>
      <w:r w:rsidRPr="001F2C4E">
        <w:rPr>
          <w:rFonts w:ascii="Arial" w:hAnsi="Arial" w:cs="Arial"/>
          <w:vanish/>
          <w:color w:val="222222"/>
          <w:sz w:val="24"/>
          <w:szCs w:val="24"/>
          <w:lang w:eastAsia="cs-CZ"/>
        </w:rPr>
        <w:t xml:space="preserve"> A Corticotrophin releasing factor has now been added as an example. </w:t>
      </w:r>
      <w:r w:rsidRPr="001F2C4E">
        <w:rPr>
          <w:rFonts w:ascii="Arial" w:hAnsi="Arial" w:cs="Arial"/>
          <w:vanish/>
          <w:color w:val="222222"/>
          <w:sz w:val="24"/>
          <w:szCs w:val="24"/>
          <w:lang w:eastAsia="cs-CZ"/>
        </w:rPr>
        <w:sym w:font="Symbol" w:char="F0B7"/>
      </w:r>
      <w:r w:rsidRPr="001F2C4E">
        <w:rPr>
          <w:rFonts w:ascii="Arial" w:hAnsi="Arial" w:cs="Arial"/>
          <w:vanish/>
          <w:color w:val="222222"/>
          <w:sz w:val="24"/>
          <w:szCs w:val="24"/>
          <w:lang w:eastAsia="cs-CZ"/>
        </w:rPr>
        <w:t xml:space="preserve"> GH releasing factors have been divided in a more precise categorization and several examples of each have been added to illustrate their different pharmacological properties. </w:t>
      </w:r>
      <w:r w:rsidRPr="001F2C4E">
        <w:rPr>
          <w:rFonts w:ascii="Arial" w:hAnsi="Arial" w:cs="Arial"/>
          <w:vanish/>
          <w:color w:val="222222"/>
          <w:sz w:val="24"/>
          <w:szCs w:val="24"/>
          <w:lang w:eastAsia="cs-CZ"/>
        </w:rPr>
        <w:sym w:font="Symbol" w:char="F0B7"/>
      </w:r>
      <w:r w:rsidRPr="001F2C4E">
        <w:rPr>
          <w:rFonts w:ascii="Arial" w:hAnsi="Arial" w:cs="Arial"/>
          <w:vanish/>
          <w:color w:val="222222"/>
          <w:sz w:val="24"/>
          <w:szCs w:val="24"/>
          <w:lang w:eastAsia="cs-CZ"/>
        </w:rPr>
        <w:t xml:space="preserve"> IGF-1 has been moved to the other growth factor section. </w:t>
      </w:r>
      <w:r w:rsidRPr="001F2C4E">
        <w:rPr>
          <w:rFonts w:ascii="Arial" w:hAnsi="Arial" w:cs="Arial"/>
          <w:vanish/>
          <w:color w:val="222222"/>
          <w:sz w:val="24"/>
          <w:szCs w:val="24"/>
          <w:lang w:eastAsia="cs-CZ"/>
        </w:rPr>
        <w:sym w:font="Symbol" w:char="F0B7"/>
      </w:r>
      <w:r w:rsidRPr="001F2C4E">
        <w:rPr>
          <w:rFonts w:ascii="Arial" w:hAnsi="Arial" w:cs="Arial"/>
          <w:vanish/>
          <w:color w:val="222222"/>
          <w:sz w:val="24"/>
          <w:szCs w:val="24"/>
          <w:lang w:eastAsia="cs-CZ"/>
        </w:rPr>
        <w:t xml:space="preserve"> Note that Platelet Derived Plasma preparations are not prohibited.</w:t>
      </w:r>
    </w:p>
    <w:p w:rsidR="00DF46C7" w:rsidRPr="001F2C4E" w:rsidRDefault="00DF46C7" w:rsidP="001F2C4E">
      <w:pPr>
        <w:shd w:val="clear" w:color="auto" w:fill="FFFFFF"/>
        <w:spacing w:line="240" w:lineRule="auto"/>
        <w:textAlignment w:val="top"/>
        <w:rPr>
          <w:rFonts w:ascii="Arial" w:hAnsi="Arial" w:cs="Arial"/>
          <w:vanish/>
          <w:color w:val="777777"/>
          <w:sz w:val="20"/>
          <w:szCs w:val="20"/>
          <w:lang w:eastAsia="cs-CZ"/>
        </w:rPr>
      </w:pPr>
      <w:r w:rsidRPr="001F2C4E">
        <w:rPr>
          <w:rFonts w:ascii="Arial" w:hAnsi="Arial" w:cs="Arial"/>
          <w:vanish/>
          <w:color w:val="777777"/>
          <w:sz w:val="20"/>
          <w:szCs w:val="20"/>
          <w:lang w:eastAsia="cs-CZ"/>
        </w:rPr>
        <w:t>Další příklady (9)</w:t>
      </w:r>
    </w:p>
    <w:p w:rsidR="00DF46C7" w:rsidRPr="001F2C4E" w:rsidRDefault="00DF46C7" w:rsidP="001F2C4E">
      <w:pPr>
        <w:shd w:val="clear" w:color="auto" w:fill="FFFFFF"/>
        <w:spacing w:after="0" w:line="240" w:lineRule="auto"/>
        <w:textAlignment w:val="top"/>
        <w:rPr>
          <w:rFonts w:ascii="Arial" w:hAnsi="Arial" w:cs="Arial"/>
          <w:vanish/>
          <w:color w:val="777777"/>
          <w:sz w:val="24"/>
          <w:szCs w:val="24"/>
          <w:lang w:eastAsia="cs-CZ"/>
        </w:rPr>
      </w:pPr>
      <w:r w:rsidRPr="001F2C4E">
        <w:rPr>
          <w:rFonts w:ascii="Arial" w:hAnsi="Arial" w:cs="Arial"/>
          <w:vanish/>
          <w:color w:val="777777"/>
          <w:sz w:val="24"/>
          <w:szCs w:val="24"/>
          <w:lang w:eastAsia="cs-CZ"/>
        </w:rPr>
        <w:t>Viz také</w:t>
      </w:r>
    </w:p>
    <w:p w:rsidR="00DF46C7" w:rsidRPr="001F2C4E" w:rsidRDefault="00DF46C7" w:rsidP="001F2C4E">
      <w:pPr>
        <w:shd w:val="clear" w:color="auto" w:fill="FFFFFF"/>
        <w:spacing w:line="240" w:lineRule="auto"/>
        <w:textAlignment w:val="top"/>
        <w:rPr>
          <w:rFonts w:ascii="Arial" w:hAnsi="Arial" w:cs="Arial"/>
          <w:vanish/>
          <w:color w:val="777777"/>
          <w:sz w:val="20"/>
          <w:szCs w:val="20"/>
          <w:lang w:eastAsia="cs-CZ"/>
        </w:rPr>
      </w:pPr>
      <w:r w:rsidRPr="001F2C4E">
        <w:rPr>
          <w:rFonts w:ascii="Arial" w:hAnsi="Arial" w:cs="Arial"/>
          <w:vanish/>
          <w:color w:val="222222"/>
          <w:sz w:val="20"/>
          <w:szCs w:val="20"/>
          <w:lang w:eastAsia="cs-CZ"/>
        </w:rPr>
        <w:t>mime</w:t>
      </w:r>
    </w:p>
    <w:p w:rsidR="00DF46C7" w:rsidRPr="001F2C4E" w:rsidRDefault="00DF46C7" w:rsidP="001F2C4E">
      <w:pPr>
        <w:shd w:val="clear" w:color="auto" w:fill="FFFFFF"/>
        <w:spacing w:line="240" w:lineRule="auto"/>
        <w:textAlignment w:val="top"/>
        <w:rPr>
          <w:rFonts w:ascii="Arial" w:hAnsi="Arial" w:cs="Arial"/>
          <w:vanish/>
          <w:color w:val="777777"/>
          <w:sz w:val="24"/>
          <w:szCs w:val="24"/>
          <w:lang w:eastAsia="cs-CZ"/>
        </w:rPr>
      </w:pPr>
      <w:r w:rsidRPr="001F2C4E">
        <w:rPr>
          <w:rFonts w:ascii="Arial" w:hAnsi="Arial" w:cs="Arial"/>
          <w:vanish/>
          <w:color w:val="777777"/>
          <w:sz w:val="24"/>
          <w:szCs w:val="24"/>
          <w:lang w:eastAsia="cs-CZ"/>
        </w:rPr>
        <w:t xml:space="preserve">Překlad výrazu </w:t>
      </w:r>
      <w:r w:rsidRPr="001F2C4E">
        <w:rPr>
          <w:rFonts w:ascii="Arial" w:hAnsi="Arial" w:cs="Arial"/>
          <w:vanish/>
          <w:color w:val="222222"/>
          <w:sz w:val="24"/>
          <w:szCs w:val="24"/>
          <w:lang w:eastAsia="cs-CZ"/>
        </w:rPr>
        <w:t xml:space="preserve">The title of this section has been changed: Mimetics have been added to the title to reflect the fact that synthetic analogs are also prohibited under this section. </w:t>
      </w:r>
      <w:r w:rsidRPr="001F2C4E">
        <w:rPr>
          <w:rFonts w:ascii="Arial" w:hAnsi="Arial" w:cs="Arial"/>
          <w:vanish/>
          <w:color w:val="222222"/>
          <w:sz w:val="24"/>
          <w:szCs w:val="24"/>
          <w:lang w:eastAsia="cs-CZ"/>
        </w:rPr>
        <w:sym w:font="Symbol" w:char="F0B7"/>
      </w:r>
      <w:r w:rsidRPr="001F2C4E">
        <w:rPr>
          <w:rFonts w:ascii="Arial" w:hAnsi="Arial" w:cs="Arial"/>
          <w:vanish/>
          <w:color w:val="222222"/>
          <w:sz w:val="24"/>
          <w:szCs w:val="24"/>
          <w:lang w:eastAsia="cs-CZ"/>
        </w:rPr>
        <w:t xml:space="preserve"> Please note that all the substances named as examples in this revised section of the 2015 Prohibited List where already considered prohibited under previous Prohibited Lists, as applicable. </w:t>
      </w:r>
      <w:r w:rsidRPr="001F2C4E">
        <w:rPr>
          <w:rFonts w:ascii="Arial" w:hAnsi="Arial" w:cs="Arial"/>
          <w:vanish/>
          <w:color w:val="222222"/>
          <w:sz w:val="24"/>
          <w:szCs w:val="24"/>
          <w:lang w:eastAsia="cs-CZ"/>
        </w:rPr>
        <w:sym w:font="Symbol" w:char="F0B7"/>
      </w:r>
      <w:r w:rsidRPr="001F2C4E">
        <w:rPr>
          <w:rFonts w:ascii="Arial" w:hAnsi="Arial" w:cs="Arial"/>
          <w:vanish/>
          <w:color w:val="222222"/>
          <w:sz w:val="24"/>
          <w:szCs w:val="24"/>
          <w:lang w:eastAsia="cs-CZ"/>
        </w:rPr>
        <w:t xml:space="preserve"> The ESA sub-section has been expanded by adding the non-erythropoietic EPO-Receptor agonists. </w:t>
      </w:r>
      <w:r w:rsidRPr="001F2C4E">
        <w:rPr>
          <w:rFonts w:ascii="Arial" w:hAnsi="Arial" w:cs="Arial"/>
          <w:vanish/>
          <w:color w:val="222222"/>
          <w:sz w:val="24"/>
          <w:szCs w:val="24"/>
          <w:lang w:eastAsia="cs-CZ"/>
        </w:rPr>
        <w:sym w:font="Symbol" w:char="F0B7"/>
      </w:r>
      <w:r w:rsidRPr="001F2C4E">
        <w:rPr>
          <w:rFonts w:ascii="Arial" w:hAnsi="Arial" w:cs="Arial"/>
          <w:vanish/>
          <w:color w:val="222222"/>
          <w:sz w:val="24"/>
          <w:szCs w:val="24"/>
          <w:lang w:eastAsia="cs-CZ"/>
        </w:rPr>
        <w:t xml:space="preserve"> In addition, the HIF stabilizer sub-section has been placed in a separate paragraph to highlight the growing importance of these drugs and to specifically identify HIF activators such as xenon and argon. Note that cyanocobalamin (vitamin B12) is not prohibited. </w:t>
      </w:r>
      <w:r w:rsidRPr="001F2C4E">
        <w:rPr>
          <w:rFonts w:ascii="Arial" w:hAnsi="Arial" w:cs="Arial"/>
          <w:vanish/>
          <w:color w:val="222222"/>
          <w:sz w:val="24"/>
          <w:szCs w:val="24"/>
          <w:lang w:eastAsia="cs-CZ"/>
        </w:rPr>
        <w:sym w:font="Symbol" w:char="F0B7"/>
      </w:r>
      <w:r w:rsidRPr="001F2C4E">
        <w:rPr>
          <w:rFonts w:ascii="Arial" w:hAnsi="Arial" w:cs="Arial"/>
          <w:vanish/>
          <w:color w:val="222222"/>
          <w:sz w:val="24"/>
          <w:szCs w:val="24"/>
          <w:lang w:eastAsia="cs-CZ"/>
        </w:rPr>
        <w:t xml:space="preserve"> Examples of Chorionic Gonadotrophin (CG) and Luteinizing Hormone (LH) releasing factors have now been identified. </w:t>
      </w:r>
      <w:r w:rsidRPr="001F2C4E">
        <w:rPr>
          <w:rFonts w:ascii="Arial" w:hAnsi="Arial" w:cs="Arial"/>
          <w:vanish/>
          <w:color w:val="222222"/>
          <w:sz w:val="24"/>
          <w:szCs w:val="24"/>
          <w:lang w:eastAsia="cs-CZ"/>
        </w:rPr>
        <w:sym w:font="Symbol" w:char="F0B7"/>
      </w:r>
      <w:r w:rsidRPr="001F2C4E">
        <w:rPr>
          <w:rFonts w:ascii="Arial" w:hAnsi="Arial" w:cs="Arial"/>
          <w:vanish/>
          <w:color w:val="222222"/>
          <w:sz w:val="24"/>
          <w:szCs w:val="24"/>
          <w:lang w:eastAsia="cs-CZ"/>
        </w:rPr>
        <w:t xml:space="preserve"> A Corticotrophin releasing factor has now been added as an example. </w:t>
      </w:r>
      <w:r w:rsidRPr="001F2C4E">
        <w:rPr>
          <w:rFonts w:ascii="Arial" w:hAnsi="Arial" w:cs="Arial"/>
          <w:vanish/>
          <w:color w:val="222222"/>
          <w:sz w:val="24"/>
          <w:szCs w:val="24"/>
          <w:lang w:eastAsia="cs-CZ"/>
        </w:rPr>
        <w:sym w:font="Symbol" w:char="F0B7"/>
      </w:r>
      <w:r w:rsidRPr="001F2C4E">
        <w:rPr>
          <w:rFonts w:ascii="Arial" w:hAnsi="Arial" w:cs="Arial"/>
          <w:vanish/>
          <w:color w:val="222222"/>
          <w:sz w:val="24"/>
          <w:szCs w:val="24"/>
          <w:lang w:eastAsia="cs-CZ"/>
        </w:rPr>
        <w:t xml:space="preserve"> GH releasing factors have been divided in a more precise categorization and several examples of each have been added to illustrate their different pharmacological properties. </w:t>
      </w:r>
      <w:r w:rsidRPr="001F2C4E">
        <w:rPr>
          <w:rFonts w:ascii="Arial" w:hAnsi="Arial" w:cs="Arial"/>
          <w:vanish/>
          <w:color w:val="222222"/>
          <w:sz w:val="24"/>
          <w:szCs w:val="24"/>
          <w:lang w:eastAsia="cs-CZ"/>
        </w:rPr>
        <w:sym w:font="Symbol" w:char="F0B7"/>
      </w:r>
      <w:r w:rsidRPr="001F2C4E">
        <w:rPr>
          <w:rFonts w:ascii="Arial" w:hAnsi="Arial" w:cs="Arial"/>
          <w:vanish/>
          <w:color w:val="222222"/>
          <w:sz w:val="24"/>
          <w:szCs w:val="24"/>
          <w:lang w:eastAsia="cs-CZ"/>
        </w:rPr>
        <w:t xml:space="preserve"> IGF-1 has been moved to the other growth factor section. </w:t>
      </w:r>
      <w:r w:rsidRPr="001F2C4E">
        <w:rPr>
          <w:rFonts w:ascii="Arial" w:hAnsi="Arial" w:cs="Arial"/>
          <w:vanish/>
          <w:color w:val="222222"/>
          <w:sz w:val="24"/>
          <w:szCs w:val="24"/>
          <w:lang w:eastAsia="cs-CZ"/>
        </w:rPr>
        <w:sym w:font="Symbol" w:char="F0B7"/>
      </w:r>
      <w:r w:rsidRPr="001F2C4E">
        <w:rPr>
          <w:rFonts w:ascii="Arial" w:hAnsi="Arial" w:cs="Arial"/>
          <w:vanish/>
          <w:color w:val="222222"/>
          <w:sz w:val="24"/>
          <w:szCs w:val="24"/>
          <w:lang w:eastAsia="cs-CZ"/>
        </w:rPr>
        <w:t xml:space="preserve"> Note that Platelet Derived Plasma preparations are not prohibited.</w:t>
      </w:r>
    </w:p>
    <w:sectPr w:rsidR="00DF46C7" w:rsidRPr="001F2C4E" w:rsidSect="00B7185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6675DA"/>
    <w:multiLevelType w:val="multilevel"/>
    <w:tmpl w:val="1F56761A"/>
    <w:lvl w:ilvl="0">
      <w:start w:val="1"/>
      <w:numFmt w:val="bullet"/>
      <w:lvlText w:val=""/>
      <w:lvlJc w:val="left"/>
      <w:pPr>
        <w:tabs>
          <w:tab w:val="num" w:pos="720"/>
        </w:tabs>
        <w:ind w:left="720" w:hanging="360"/>
      </w:pPr>
      <w:rPr>
        <w:rFonts w:ascii="Symbol" w:hAnsi="Symbol" w:cs="Symbol" w:hint="default"/>
        <w:sz w:val="20"/>
        <w:szCs w:val="20"/>
      </w:rPr>
    </w:lvl>
    <w:lvl w:ilvl="1" w:tentative="1">
      <w:start w:val="1"/>
      <w:numFmt w:val="bullet"/>
      <w:lvlText w:val="o"/>
      <w:lvlJc w:val="left"/>
      <w:pPr>
        <w:tabs>
          <w:tab w:val="num" w:pos="1440"/>
        </w:tabs>
        <w:ind w:left="1440" w:hanging="360"/>
      </w:pPr>
      <w:rPr>
        <w:rFonts w:ascii="Courier New" w:hAnsi="Courier New" w:cs="Courier New" w:hint="default"/>
        <w:sz w:val="20"/>
        <w:szCs w:val="20"/>
      </w:rPr>
    </w:lvl>
    <w:lvl w:ilvl="2" w:tentative="1">
      <w:start w:val="1"/>
      <w:numFmt w:val="bullet"/>
      <w:lvlText w:val=""/>
      <w:lvlJc w:val="left"/>
      <w:pPr>
        <w:tabs>
          <w:tab w:val="num" w:pos="2160"/>
        </w:tabs>
        <w:ind w:left="2160" w:hanging="360"/>
      </w:pPr>
      <w:rPr>
        <w:rFonts w:ascii="Wingdings" w:hAnsi="Wingdings" w:cs="Wingdings" w:hint="default"/>
        <w:sz w:val="20"/>
        <w:szCs w:val="20"/>
      </w:rPr>
    </w:lvl>
    <w:lvl w:ilvl="3" w:tentative="1">
      <w:start w:val="1"/>
      <w:numFmt w:val="bullet"/>
      <w:lvlText w:val=""/>
      <w:lvlJc w:val="left"/>
      <w:pPr>
        <w:tabs>
          <w:tab w:val="num" w:pos="2880"/>
        </w:tabs>
        <w:ind w:left="2880" w:hanging="360"/>
      </w:pPr>
      <w:rPr>
        <w:rFonts w:ascii="Wingdings" w:hAnsi="Wingdings" w:cs="Wingdings" w:hint="default"/>
        <w:sz w:val="20"/>
        <w:szCs w:val="20"/>
      </w:rPr>
    </w:lvl>
    <w:lvl w:ilvl="4" w:tentative="1">
      <w:start w:val="1"/>
      <w:numFmt w:val="bullet"/>
      <w:lvlText w:val=""/>
      <w:lvlJc w:val="left"/>
      <w:pPr>
        <w:tabs>
          <w:tab w:val="num" w:pos="3600"/>
        </w:tabs>
        <w:ind w:left="3600" w:hanging="360"/>
      </w:pPr>
      <w:rPr>
        <w:rFonts w:ascii="Wingdings" w:hAnsi="Wingdings" w:cs="Wingdings" w:hint="default"/>
        <w:sz w:val="20"/>
        <w:szCs w:val="20"/>
      </w:rPr>
    </w:lvl>
    <w:lvl w:ilvl="5" w:tentative="1">
      <w:start w:val="1"/>
      <w:numFmt w:val="bullet"/>
      <w:lvlText w:val=""/>
      <w:lvlJc w:val="left"/>
      <w:pPr>
        <w:tabs>
          <w:tab w:val="num" w:pos="4320"/>
        </w:tabs>
        <w:ind w:left="4320" w:hanging="360"/>
      </w:pPr>
      <w:rPr>
        <w:rFonts w:ascii="Wingdings" w:hAnsi="Wingdings" w:cs="Wingdings" w:hint="default"/>
        <w:sz w:val="20"/>
        <w:szCs w:val="20"/>
      </w:rPr>
    </w:lvl>
    <w:lvl w:ilvl="6" w:tentative="1">
      <w:start w:val="1"/>
      <w:numFmt w:val="bullet"/>
      <w:lvlText w:val=""/>
      <w:lvlJc w:val="left"/>
      <w:pPr>
        <w:tabs>
          <w:tab w:val="num" w:pos="5040"/>
        </w:tabs>
        <w:ind w:left="5040" w:hanging="360"/>
      </w:pPr>
      <w:rPr>
        <w:rFonts w:ascii="Wingdings" w:hAnsi="Wingdings" w:cs="Wingdings" w:hint="default"/>
        <w:sz w:val="20"/>
        <w:szCs w:val="20"/>
      </w:rPr>
    </w:lvl>
    <w:lvl w:ilvl="7" w:tentative="1">
      <w:start w:val="1"/>
      <w:numFmt w:val="bullet"/>
      <w:lvlText w:val=""/>
      <w:lvlJc w:val="left"/>
      <w:pPr>
        <w:tabs>
          <w:tab w:val="num" w:pos="5760"/>
        </w:tabs>
        <w:ind w:left="5760" w:hanging="360"/>
      </w:pPr>
      <w:rPr>
        <w:rFonts w:ascii="Wingdings" w:hAnsi="Wingdings" w:cs="Wingdings" w:hint="default"/>
        <w:sz w:val="20"/>
        <w:szCs w:val="20"/>
      </w:rPr>
    </w:lvl>
    <w:lvl w:ilvl="8" w:tentative="1">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
    <w:nsid w:val="2FBD24A3"/>
    <w:multiLevelType w:val="multilevel"/>
    <w:tmpl w:val="96FCBB78"/>
    <w:lvl w:ilvl="0">
      <w:start w:val="1"/>
      <w:numFmt w:val="bullet"/>
      <w:lvlText w:val=""/>
      <w:lvlJc w:val="left"/>
      <w:pPr>
        <w:tabs>
          <w:tab w:val="num" w:pos="720"/>
        </w:tabs>
        <w:ind w:left="720" w:hanging="360"/>
      </w:pPr>
      <w:rPr>
        <w:rFonts w:ascii="Symbol" w:hAnsi="Symbol" w:cs="Symbol" w:hint="default"/>
        <w:sz w:val="20"/>
        <w:szCs w:val="20"/>
      </w:rPr>
    </w:lvl>
    <w:lvl w:ilvl="1" w:tentative="1">
      <w:start w:val="1"/>
      <w:numFmt w:val="bullet"/>
      <w:lvlText w:val="o"/>
      <w:lvlJc w:val="left"/>
      <w:pPr>
        <w:tabs>
          <w:tab w:val="num" w:pos="1440"/>
        </w:tabs>
        <w:ind w:left="1440" w:hanging="360"/>
      </w:pPr>
      <w:rPr>
        <w:rFonts w:ascii="Courier New" w:hAnsi="Courier New" w:cs="Courier New" w:hint="default"/>
        <w:sz w:val="20"/>
        <w:szCs w:val="20"/>
      </w:rPr>
    </w:lvl>
    <w:lvl w:ilvl="2" w:tentative="1">
      <w:start w:val="1"/>
      <w:numFmt w:val="bullet"/>
      <w:lvlText w:val=""/>
      <w:lvlJc w:val="left"/>
      <w:pPr>
        <w:tabs>
          <w:tab w:val="num" w:pos="2160"/>
        </w:tabs>
        <w:ind w:left="2160" w:hanging="360"/>
      </w:pPr>
      <w:rPr>
        <w:rFonts w:ascii="Wingdings" w:hAnsi="Wingdings" w:cs="Wingdings" w:hint="default"/>
        <w:sz w:val="20"/>
        <w:szCs w:val="20"/>
      </w:rPr>
    </w:lvl>
    <w:lvl w:ilvl="3" w:tentative="1">
      <w:start w:val="1"/>
      <w:numFmt w:val="bullet"/>
      <w:lvlText w:val=""/>
      <w:lvlJc w:val="left"/>
      <w:pPr>
        <w:tabs>
          <w:tab w:val="num" w:pos="2880"/>
        </w:tabs>
        <w:ind w:left="2880" w:hanging="360"/>
      </w:pPr>
      <w:rPr>
        <w:rFonts w:ascii="Wingdings" w:hAnsi="Wingdings" w:cs="Wingdings" w:hint="default"/>
        <w:sz w:val="20"/>
        <w:szCs w:val="20"/>
      </w:rPr>
    </w:lvl>
    <w:lvl w:ilvl="4" w:tentative="1">
      <w:start w:val="1"/>
      <w:numFmt w:val="bullet"/>
      <w:lvlText w:val=""/>
      <w:lvlJc w:val="left"/>
      <w:pPr>
        <w:tabs>
          <w:tab w:val="num" w:pos="3600"/>
        </w:tabs>
        <w:ind w:left="3600" w:hanging="360"/>
      </w:pPr>
      <w:rPr>
        <w:rFonts w:ascii="Wingdings" w:hAnsi="Wingdings" w:cs="Wingdings" w:hint="default"/>
        <w:sz w:val="20"/>
        <w:szCs w:val="20"/>
      </w:rPr>
    </w:lvl>
    <w:lvl w:ilvl="5" w:tentative="1">
      <w:start w:val="1"/>
      <w:numFmt w:val="bullet"/>
      <w:lvlText w:val=""/>
      <w:lvlJc w:val="left"/>
      <w:pPr>
        <w:tabs>
          <w:tab w:val="num" w:pos="4320"/>
        </w:tabs>
        <w:ind w:left="4320" w:hanging="360"/>
      </w:pPr>
      <w:rPr>
        <w:rFonts w:ascii="Wingdings" w:hAnsi="Wingdings" w:cs="Wingdings" w:hint="default"/>
        <w:sz w:val="20"/>
        <w:szCs w:val="20"/>
      </w:rPr>
    </w:lvl>
    <w:lvl w:ilvl="6" w:tentative="1">
      <w:start w:val="1"/>
      <w:numFmt w:val="bullet"/>
      <w:lvlText w:val=""/>
      <w:lvlJc w:val="left"/>
      <w:pPr>
        <w:tabs>
          <w:tab w:val="num" w:pos="5040"/>
        </w:tabs>
        <w:ind w:left="5040" w:hanging="360"/>
      </w:pPr>
      <w:rPr>
        <w:rFonts w:ascii="Wingdings" w:hAnsi="Wingdings" w:cs="Wingdings" w:hint="default"/>
        <w:sz w:val="20"/>
        <w:szCs w:val="20"/>
      </w:rPr>
    </w:lvl>
    <w:lvl w:ilvl="7" w:tentative="1">
      <w:start w:val="1"/>
      <w:numFmt w:val="bullet"/>
      <w:lvlText w:val=""/>
      <w:lvlJc w:val="left"/>
      <w:pPr>
        <w:tabs>
          <w:tab w:val="num" w:pos="5760"/>
        </w:tabs>
        <w:ind w:left="5760" w:hanging="360"/>
      </w:pPr>
      <w:rPr>
        <w:rFonts w:ascii="Wingdings" w:hAnsi="Wingdings" w:cs="Wingdings" w:hint="default"/>
        <w:sz w:val="20"/>
        <w:szCs w:val="20"/>
      </w:rPr>
    </w:lvl>
    <w:lvl w:ilvl="8" w:tentative="1">
      <w:start w:val="1"/>
      <w:numFmt w:val="bullet"/>
      <w:lvlText w:val=""/>
      <w:lvlJc w:val="left"/>
      <w:pPr>
        <w:tabs>
          <w:tab w:val="num" w:pos="6480"/>
        </w:tabs>
        <w:ind w:left="6480" w:hanging="360"/>
      </w:pPr>
      <w:rPr>
        <w:rFonts w:ascii="Wingdings" w:hAnsi="Wingdings" w:cs="Wingdings" w:hint="default"/>
        <w:sz w:val="20"/>
        <w:szCs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F2C4E"/>
    <w:rsid w:val="0000403F"/>
    <w:rsid w:val="0002074D"/>
    <w:rsid w:val="00076AB2"/>
    <w:rsid w:val="00190F3F"/>
    <w:rsid w:val="001F2C4E"/>
    <w:rsid w:val="00233D3A"/>
    <w:rsid w:val="002861D4"/>
    <w:rsid w:val="00353552"/>
    <w:rsid w:val="00392696"/>
    <w:rsid w:val="003B51B2"/>
    <w:rsid w:val="003E78EA"/>
    <w:rsid w:val="00462D8F"/>
    <w:rsid w:val="0048517C"/>
    <w:rsid w:val="0052025A"/>
    <w:rsid w:val="00537E26"/>
    <w:rsid w:val="00561873"/>
    <w:rsid w:val="00576D83"/>
    <w:rsid w:val="005A1B5D"/>
    <w:rsid w:val="006F4105"/>
    <w:rsid w:val="00797276"/>
    <w:rsid w:val="00AC1303"/>
    <w:rsid w:val="00AE59F0"/>
    <w:rsid w:val="00B205E4"/>
    <w:rsid w:val="00B7185E"/>
    <w:rsid w:val="00C65274"/>
    <w:rsid w:val="00C75977"/>
    <w:rsid w:val="00D50EFD"/>
    <w:rsid w:val="00DF46C7"/>
    <w:rsid w:val="00E11983"/>
    <w:rsid w:val="00E559FF"/>
    <w:rsid w:val="00F10710"/>
    <w:rsid w:val="00F74BB7"/>
    <w:rsid w:val="00F83779"/>
  </w:rsids>
  <m:mathPr>
    <m:mathFont m:val="Cambria Math"/>
    <m:brkBin m:val="before"/>
    <m:brkBinSub m:val="--"/>
    <m:smallFrac m:val="off"/>
    <m:dispDef/>
    <m:lMargin m:val="0"/>
    <m:rMargin m:val="0"/>
    <m:defJc m:val="centerGroup"/>
    <m:wrapIndent m:val="1440"/>
    <m:intLim m:val="subSup"/>
    <m:naryLim m:val="undOvr"/>
  </m:mathPr>
  <w:uiCompat97To2003/>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HTML Top of Form" w:unhideWhenUsed="0"/>
    <w:lsdException w:name="HTML Bottom of Form"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85E"/>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rsid w:val="001F2C4E"/>
    <w:pPr>
      <w:pBdr>
        <w:bottom w:val="single" w:sz="6" w:space="1" w:color="auto"/>
      </w:pBdr>
      <w:spacing w:after="0" w:line="240" w:lineRule="auto"/>
      <w:jc w:val="center"/>
    </w:pPr>
    <w:rPr>
      <w:rFonts w:ascii="Arial" w:eastAsia="Times New Roman" w:hAnsi="Arial" w:cs="Arial"/>
      <w:vanish/>
      <w:sz w:val="16"/>
      <w:szCs w:val="16"/>
      <w:lang w:eastAsia="cs-CZ"/>
    </w:rPr>
  </w:style>
  <w:style w:type="character" w:customStyle="1" w:styleId="z-TopofFormChar">
    <w:name w:val="z-Top of Form Char"/>
    <w:basedOn w:val="DefaultParagraphFont"/>
    <w:link w:val="z-TopofForm"/>
    <w:uiPriority w:val="99"/>
    <w:semiHidden/>
    <w:rsid w:val="001F2C4E"/>
    <w:rPr>
      <w:rFonts w:ascii="Arial" w:hAnsi="Arial" w:cs="Arial"/>
      <w:vanish/>
      <w:sz w:val="16"/>
      <w:szCs w:val="16"/>
      <w:lang w:eastAsia="cs-CZ"/>
    </w:rPr>
  </w:style>
  <w:style w:type="character" w:customStyle="1" w:styleId="hps">
    <w:name w:val="hps"/>
    <w:basedOn w:val="DefaultParagraphFont"/>
    <w:uiPriority w:val="99"/>
    <w:rsid w:val="001F2C4E"/>
  </w:style>
  <w:style w:type="character" w:customStyle="1" w:styleId="atn">
    <w:name w:val="atn"/>
    <w:basedOn w:val="DefaultParagraphFont"/>
    <w:uiPriority w:val="99"/>
    <w:rsid w:val="001F2C4E"/>
  </w:style>
  <w:style w:type="character" w:customStyle="1" w:styleId="gt-card-ttl-txt1">
    <w:name w:val="gt-card-ttl-txt1"/>
    <w:basedOn w:val="DefaultParagraphFont"/>
    <w:uiPriority w:val="99"/>
    <w:rsid w:val="001F2C4E"/>
    <w:rPr>
      <w:color w:val="222222"/>
    </w:rPr>
  </w:style>
  <w:style w:type="character" w:customStyle="1" w:styleId="cd-expand-label2">
    <w:name w:val="cd-expand-label2"/>
    <w:basedOn w:val="DefaultParagraphFont"/>
    <w:uiPriority w:val="99"/>
    <w:rsid w:val="001F2C4E"/>
  </w:style>
  <w:style w:type="character" w:customStyle="1" w:styleId="gt-syn-span1">
    <w:name w:val="gt-syn-span1"/>
    <w:basedOn w:val="DefaultParagraphFont"/>
    <w:uiPriority w:val="99"/>
    <w:rsid w:val="001F2C4E"/>
    <w:rPr>
      <w:color w:val="222222"/>
    </w:rPr>
  </w:style>
  <w:style w:type="character" w:customStyle="1" w:styleId="gt-cd-cl1">
    <w:name w:val="gt-cd-cl1"/>
    <w:basedOn w:val="DefaultParagraphFont"/>
    <w:uiPriority w:val="99"/>
    <w:rsid w:val="001F2C4E"/>
  </w:style>
  <w:style w:type="character" w:customStyle="1" w:styleId="gt-cd-pos1">
    <w:name w:val="gt-cd-pos1"/>
    <w:basedOn w:val="DefaultParagraphFont"/>
    <w:uiPriority w:val="99"/>
    <w:rsid w:val="001F2C4E"/>
    <w:rPr>
      <w:i/>
      <w:iCs/>
      <w:color w:val="777777"/>
    </w:rPr>
  </w:style>
  <w:style w:type="character" w:customStyle="1" w:styleId="gt-baf-back1">
    <w:name w:val="gt-baf-back1"/>
    <w:basedOn w:val="DefaultParagraphFont"/>
    <w:uiPriority w:val="99"/>
    <w:rsid w:val="001F2C4E"/>
  </w:style>
  <w:style w:type="character" w:customStyle="1" w:styleId="gt-ft-text1">
    <w:name w:val="gt-ft-text1"/>
    <w:basedOn w:val="DefaultParagraphFont"/>
    <w:uiPriority w:val="99"/>
    <w:rsid w:val="001F2C4E"/>
  </w:style>
  <w:style w:type="paragraph" w:styleId="z-BottomofForm">
    <w:name w:val="HTML Bottom of Form"/>
    <w:basedOn w:val="Normal"/>
    <w:next w:val="Normal"/>
    <w:link w:val="z-BottomofFormChar"/>
    <w:hidden/>
    <w:uiPriority w:val="99"/>
    <w:semiHidden/>
    <w:rsid w:val="001F2C4E"/>
    <w:pPr>
      <w:pBdr>
        <w:top w:val="single" w:sz="6" w:space="1" w:color="auto"/>
      </w:pBdr>
      <w:spacing w:after="0" w:line="240" w:lineRule="auto"/>
      <w:jc w:val="center"/>
    </w:pPr>
    <w:rPr>
      <w:rFonts w:ascii="Arial" w:eastAsia="Times New Roman" w:hAnsi="Arial" w:cs="Arial"/>
      <w:vanish/>
      <w:sz w:val="16"/>
      <w:szCs w:val="16"/>
      <w:lang w:eastAsia="cs-CZ"/>
    </w:rPr>
  </w:style>
  <w:style w:type="character" w:customStyle="1" w:styleId="z-BottomofFormChar">
    <w:name w:val="z-Bottom of Form Char"/>
    <w:basedOn w:val="DefaultParagraphFont"/>
    <w:link w:val="z-BottomofForm"/>
    <w:uiPriority w:val="99"/>
    <w:semiHidden/>
    <w:rsid w:val="001F2C4E"/>
    <w:rPr>
      <w:rFonts w:ascii="Arial" w:hAnsi="Arial" w:cs="Arial"/>
      <w:vanish/>
      <w:sz w:val="16"/>
      <w:szCs w:val="16"/>
      <w:lang w:eastAsia="cs-CZ"/>
    </w:rPr>
  </w:style>
  <w:style w:type="paragraph" w:customStyle="1" w:styleId="Default">
    <w:name w:val="Default"/>
    <w:uiPriority w:val="99"/>
    <w:rsid w:val="00C75977"/>
    <w:pPr>
      <w:autoSpaceDE w:val="0"/>
      <w:autoSpaceDN w:val="0"/>
      <w:adjustRightInd w:val="0"/>
    </w:pPr>
    <w:rPr>
      <w:rFonts w:ascii="Verdana" w:hAnsi="Verdana" w:cs="Verdana"/>
      <w:color w:val="000000"/>
      <w:sz w:val="24"/>
      <w:szCs w:val="24"/>
      <w:lang w:eastAsia="en-US"/>
    </w:rPr>
  </w:style>
  <w:style w:type="paragraph" w:styleId="BalloonText">
    <w:name w:val="Balloon Text"/>
    <w:basedOn w:val="Normal"/>
    <w:link w:val="BalloonTextChar"/>
    <w:uiPriority w:val="99"/>
    <w:semiHidden/>
    <w:rsid w:val="00190F3F"/>
    <w:rPr>
      <w:rFonts w:ascii="Tahoma" w:hAnsi="Tahoma" w:cs="Tahoma"/>
      <w:sz w:val="16"/>
      <w:szCs w:val="16"/>
    </w:rPr>
  </w:style>
  <w:style w:type="character" w:customStyle="1" w:styleId="BalloonTextChar">
    <w:name w:val="Balloon Text Char"/>
    <w:basedOn w:val="DefaultParagraphFont"/>
    <w:link w:val="BalloonText"/>
    <w:uiPriority w:val="99"/>
    <w:semiHidden/>
    <w:rsid w:val="006B63DE"/>
    <w:rPr>
      <w:rFonts w:ascii="Times New Roman" w:hAnsi="Times New Roman"/>
      <w:sz w:val="0"/>
      <w:szCs w:val="0"/>
      <w:lang w:eastAsia="en-US"/>
    </w:rPr>
  </w:style>
</w:styles>
</file>

<file path=word/webSettings.xml><?xml version="1.0" encoding="utf-8"?>
<w:webSettings xmlns:r="http://schemas.openxmlformats.org/officeDocument/2006/relationships" xmlns:w="http://schemas.openxmlformats.org/wordprocessingml/2006/main">
  <w:divs>
    <w:div w:id="12734094">
      <w:marLeft w:val="0"/>
      <w:marRight w:val="0"/>
      <w:marTop w:val="0"/>
      <w:marBottom w:val="0"/>
      <w:divBdr>
        <w:top w:val="none" w:sz="0" w:space="0" w:color="auto"/>
        <w:left w:val="none" w:sz="0" w:space="0" w:color="auto"/>
        <w:bottom w:val="none" w:sz="0" w:space="0" w:color="auto"/>
        <w:right w:val="none" w:sz="0" w:space="0" w:color="auto"/>
      </w:divBdr>
      <w:divsChild>
        <w:div w:id="12734035">
          <w:marLeft w:val="0"/>
          <w:marRight w:val="0"/>
          <w:marTop w:val="0"/>
          <w:marBottom w:val="0"/>
          <w:divBdr>
            <w:top w:val="none" w:sz="0" w:space="0" w:color="auto"/>
            <w:left w:val="none" w:sz="0" w:space="0" w:color="auto"/>
            <w:bottom w:val="none" w:sz="0" w:space="0" w:color="auto"/>
            <w:right w:val="none" w:sz="0" w:space="0" w:color="auto"/>
          </w:divBdr>
          <w:divsChild>
            <w:div w:id="12734031">
              <w:marLeft w:val="0"/>
              <w:marRight w:val="0"/>
              <w:marTop w:val="0"/>
              <w:marBottom w:val="0"/>
              <w:divBdr>
                <w:top w:val="none" w:sz="0" w:space="0" w:color="auto"/>
                <w:left w:val="none" w:sz="0" w:space="0" w:color="auto"/>
                <w:bottom w:val="none" w:sz="0" w:space="0" w:color="auto"/>
                <w:right w:val="none" w:sz="0" w:space="0" w:color="auto"/>
              </w:divBdr>
              <w:divsChild>
                <w:div w:id="12734112">
                  <w:marLeft w:val="0"/>
                  <w:marRight w:val="0"/>
                  <w:marTop w:val="0"/>
                  <w:marBottom w:val="0"/>
                  <w:divBdr>
                    <w:top w:val="none" w:sz="0" w:space="0" w:color="auto"/>
                    <w:left w:val="none" w:sz="0" w:space="0" w:color="auto"/>
                    <w:bottom w:val="none" w:sz="0" w:space="0" w:color="auto"/>
                    <w:right w:val="none" w:sz="0" w:space="0" w:color="auto"/>
                  </w:divBdr>
                  <w:divsChild>
                    <w:div w:id="12734050">
                      <w:marLeft w:val="0"/>
                      <w:marRight w:val="0"/>
                      <w:marTop w:val="0"/>
                      <w:marBottom w:val="0"/>
                      <w:divBdr>
                        <w:top w:val="none" w:sz="0" w:space="0" w:color="auto"/>
                        <w:left w:val="none" w:sz="0" w:space="0" w:color="auto"/>
                        <w:bottom w:val="none" w:sz="0" w:space="0" w:color="auto"/>
                        <w:right w:val="none" w:sz="0" w:space="0" w:color="auto"/>
                      </w:divBdr>
                      <w:divsChild>
                        <w:div w:id="12734030">
                          <w:marLeft w:val="0"/>
                          <w:marRight w:val="0"/>
                          <w:marTop w:val="0"/>
                          <w:marBottom w:val="0"/>
                          <w:divBdr>
                            <w:top w:val="none" w:sz="0" w:space="0" w:color="auto"/>
                            <w:left w:val="none" w:sz="0" w:space="0" w:color="auto"/>
                            <w:bottom w:val="none" w:sz="0" w:space="0" w:color="auto"/>
                            <w:right w:val="none" w:sz="0" w:space="0" w:color="auto"/>
                          </w:divBdr>
                          <w:divsChild>
                            <w:div w:id="12734051">
                              <w:marLeft w:val="0"/>
                              <w:marRight w:val="0"/>
                              <w:marTop w:val="0"/>
                              <w:marBottom w:val="0"/>
                              <w:divBdr>
                                <w:top w:val="none" w:sz="0" w:space="0" w:color="auto"/>
                                <w:left w:val="none" w:sz="0" w:space="0" w:color="auto"/>
                                <w:bottom w:val="none" w:sz="0" w:space="0" w:color="auto"/>
                                <w:right w:val="none" w:sz="0" w:space="0" w:color="auto"/>
                              </w:divBdr>
                              <w:divsChild>
                                <w:div w:id="12734074">
                                  <w:marLeft w:val="0"/>
                                  <w:marRight w:val="0"/>
                                  <w:marTop w:val="0"/>
                                  <w:marBottom w:val="0"/>
                                  <w:divBdr>
                                    <w:top w:val="none" w:sz="0" w:space="0" w:color="auto"/>
                                    <w:left w:val="none" w:sz="0" w:space="0" w:color="auto"/>
                                    <w:bottom w:val="none" w:sz="0" w:space="0" w:color="auto"/>
                                    <w:right w:val="none" w:sz="0" w:space="0" w:color="auto"/>
                                  </w:divBdr>
                                  <w:divsChild>
                                    <w:div w:id="12734056">
                                      <w:marLeft w:val="60"/>
                                      <w:marRight w:val="0"/>
                                      <w:marTop w:val="0"/>
                                      <w:marBottom w:val="0"/>
                                      <w:divBdr>
                                        <w:top w:val="none" w:sz="0" w:space="0" w:color="auto"/>
                                        <w:left w:val="none" w:sz="0" w:space="0" w:color="auto"/>
                                        <w:bottom w:val="none" w:sz="0" w:space="0" w:color="auto"/>
                                        <w:right w:val="none" w:sz="0" w:space="0" w:color="auto"/>
                                      </w:divBdr>
                                      <w:divsChild>
                                        <w:div w:id="12734104">
                                          <w:marLeft w:val="0"/>
                                          <w:marRight w:val="0"/>
                                          <w:marTop w:val="0"/>
                                          <w:marBottom w:val="0"/>
                                          <w:divBdr>
                                            <w:top w:val="none" w:sz="0" w:space="0" w:color="auto"/>
                                            <w:left w:val="none" w:sz="0" w:space="0" w:color="auto"/>
                                            <w:bottom w:val="none" w:sz="0" w:space="0" w:color="auto"/>
                                            <w:right w:val="none" w:sz="0" w:space="0" w:color="auto"/>
                                          </w:divBdr>
                                          <w:divsChild>
                                            <w:div w:id="12734038">
                                              <w:marLeft w:val="0"/>
                                              <w:marRight w:val="0"/>
                                              <w:marTop w:val="0"/>
                                              <w:marBottom w:val="120"/>
                                              <w:divBdr>
                                                <w:top w:val="single" w:sz="6" w:space="0" w:color="F5F5F5"/>
                                                <w:left w:val="single" w:sz="6" w:space="0" w:color="F5F5F5"/>
                                                <w:bottom w:val="single" w:sz="6" w:space="0" w:color="F5F5F5"/>
                                                <w:right w:val="single" w:sz="6" w:space="0" w:color="F5F5F5"/>
                                              </w:divBdr>
                                              <w:divsChild>
                                                <w:div w:id="12734034">
                                                  <w:marLeft w:val="0"/>
                                                  <w:marRight w:val="0"/>
                                                  <w:marTop w:val="0"/>
                                                  <w:marBottom w:val="0"/>
                                                  <w:divBdr>
                                                    <w:top w:val="none" w:sz="0" w:space="0" w:color="auto"/>
                                                    <w:left w:val="none" w:sz="0" w:space="0" w:color="auto"/>
                                                    <w:bottom w:val="none" w:sz="0" w:space="0" w:color="auto"/>
                                                    <w:right w:val="none" w:sz="0" w:space="0" w:color="auto"/>
                                                  </w:divBdr>
                                                  <w:divsChild>
                                                    <w:div w:id="12734106">
                                                      <w:marLeft w:val="0"/>
                                                      <w:marRight w:val="0"/>
                                                      <w:marTop w:val="0"/>
                                                      <w:marBottom w:val="0"/>
                                                      <w:divBdr>
                                                        <w:top w:val="none" w:sz="0" w:space="0" w:color="auto"/>
                                                        <w:left w:val="none" w:sz="0" w:space="0" w:color="auto"/>
                                                        <w:bottom w:val="none" w:sz="0" w:space="0" w:color="auto"/>
                                                        <w:right w:val="none" w:sz="0" w:space="0" w:color="auto"/>
                                                      </w:divBdr>
                                                    </w:div>
                                                  </w:divsChild>
                                                </w:div>
                                                <w:div w:id="12734052">
                                                  <w:marLeft w:val="0"/>
                                                  <w:marRight w:val="0"/>
                                                  <w:marTop w:val="0"/>
                                                  <w:marBottom w:val="0"/>
                                                  <w:divBdr>
                                                    <w:top w:val="none" w:sz="0" w:space="0" w:color="auto"/>
                                                    <w:left w:val="none" w:sz="0" w:space="0" w:color="auto"/>
                                                    <w:bottom w:val="none" w:sz="0" w:space="0" w:color="auto"/>
                                                    <w:right w:val="none" w:sz="0" w:space="0" w:color="auto"/>
                                                  </w:divBdr>
                                                  <w:divsChild>
                                                    <w:div w:id="12734081">
                                                      <w:marLeft w:val="0"/>
                                                      <w:marRight w:val="0"/>
                                                      <w:marTop w:val="0"/>
                                                      <w:marBottom w:val="0"/>
                                                      <w:divBdr>
                                                        <w:top w:val="none" w:sz="0" w:space="0" w:color="auto"/>
                                                        <w:left w:val="none" w:sz="0" w:space="0" w:color="auto"/>
                                                        <w:bottom w:val="none" w:sz="0" w:space="0" w:color="auto"/>
                                                        <w:right w:val="none" w:sz="0" w:space="0" w:color="auto"/>
                                                      </w:divBdr>
                                                      <w:divsChild>
                                                        <w:div w:id="1273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4108">
                                                  <w:marLeft w:val="0"/>
                                                  <w:marRight w:val="0"/>
                                                  <w:marTop w:val="0"/>
                                                  <w:marBottom w:val="0"/>
                                                  <w:divBdr>
                                                    <w:top w:val="none" w:sz="0" w:space="0" w:color="auto"/>
                                                    <w:left w:val="none" w:sz="0" w:space="0" w:color="auto"/>
                                                    <w:bottom w:val="none" w:sz="0" w:space="0" w:color="auto"/>
                                                    <w:right w:val="none" w:sz="0" w:space="0" w:color="auto"/>
                                                  </w:divBdr>
                                                  <w:divsChild>
                                                    <w:div w:id="1273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4061">
                                              <w:marLeft w:val="0"/>
                                              <w:marRight w:val="0"/>
                                              <w:marTop w:val="0"/>
                                              <w:marBottom w:val="0"/>
                                              <w:divBdr>
                                                <w:top w:val="none" w:sz="0" w:space="0" w:color="auto"/>
                                                <w:left w:val="none" w:sz="0" w:space="0" w:color="auto"/>
                                                <w:bottom w:val="none" w:sz="0" w:space="0" w:color="auto"/>
                                                <w:right w:val="none" w:sz="0" w:space="0" w:color="auto"/>
                                              </w:divBdr>
                                              <w:divsChild>
                                                <w:div w:id="12734047">
                                                  <w:marLeft w:val="0"/>
                                                  <w:marRight w:val="0"/>
                                                  <w:marTop w:val="0"/>
                                                  <w:marBottom w:val="0"/>
                                                  <w:divBdr>
                                                    <w:top w:val="none" w:sz="0" w:space="0" w:color="auto"/>
                                                    <w:left w:val="none" w:sz="0" w:space="0" w:color="auto"/>
                                                    <w:bottom w:val="none" w:sz="0" w:space="0" w:color="auto"/>
                                                    <w:right w:val="none" w:sz="0" w:space="0" w:color="auto"/>
                                                  </w:divBdr>
                                                  <w:divsChild>
                                                    <w:div w:id="12734045">
                                                      <w:marLeft w:val="0"/>
                                                      <w:marRight w:val="0"/>
                                                      <w:marTop w:val="0"/>
                                                      <w:marBottom w:val="0"/>
                                                      <w:divBdr>
                                                        <w:top w:val="none" w:sz="0" w:space="0" w:color="auto"/>
                                                        <w:left w:val="none" w:sz="0" w:space="0" w:color="auto"/>
                                                        <w:bottom w:val="none" w:sz="0" w:space="0" w:color="auto"/>
                                                        <w:right w:val="none" w:sz="0" w:space="0" w:color="auto"/>
                                                      </w:divBdr>
                                                      <w:divsChild>
                                                        <w:div w:id="12734037">
                                                          <w:marLeft w:val="0"/>
                                                          <w:marRight w:val="0"/>
                                                          <w:marTop w:val="0"/>
                                                          <w:marBottom w:val="0"/>
                                                          <w:divBdr>
                                                            <w:top w:val="none" w:sz="0" w:space="0" w:color="auto"/>
                                                            <w:left w:val="none" w:sz="0" w:space="0" w:color="auto"/>
                                                            <w:bottom w:val="none" w:sz="0" w:space="0" w:color="auto"/>
                                                            <w:right w:val="none" w:sz="0" w:space="0" w:color="auto"/>
                                                          </w:divBdr>
                                                        </w:div>
                                                        <w:div w:id="12734093">
                                                          <w:marLeft w:val="0"/>
                                                          <w:marRight w:val="0"/>
                                                          <w:marTop w:val="0"/>
                                                          <w:marBottom w:val="0"/>
                                                          <w:divBdr>
                                                            <w:top w:val="none" w:sz="0" w:space="0" w:color="auto"/>
                                                            <w:left w:val="none" w:sz="0" w:space="0" w:color="auto"/>
                                                            <w:bottom w:val="none" w:sz="0" w:space="0" w:color="auto"/>
                                                            <w:right w:val="none" w:sz="0" w:space="0" w:color="auto"/>
                                                          </w:divBdr>
                                                        </w:div>
                                                      </w:divsChild>
                                                    </w:div>
                                                    <w:div w:id="12734091">
                                                      <w:marLeft w:val="0"/>
                                                      <w:marRight w:val="0"/>
                                                      <w:marTop w:val="90"/>
                                                      <w:marBottom w:val="90"/>
                                                      <w:divBdr>
                                                        <w:top w:val="none" w:sz="0" w:space="4" w:color="F0C36D"/>
                                                        <w:left w:val="none" w:sz="0" w:space="4" w:color="F0C36D"/>
                                                        <w:bottom w:val="none" w:sz="0" w:space="4" w:color="F0C36D"/>
                                                        <w:right w:val="none" w:sz="0" w:space="4" w:color="F0C36D"/>
                                                      </w:divBdr>
                                                      <w:divsChild>
                                                        <w:div w:id="1273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34077">
                                  <w:marLeft w:val="0"/>
                                  <w:marRight w:val="0"/>
                                  <w:marTop w:val="180"/>
                                  <w:marBottom w:val="0"/>
                                  <w:divBdr>
                                    <w:top w:val="none" w:sz="0" w:space="0" w:color="auto"/>
                                    <w:left w:val="none" w:sz="0" w:space="0" w:color="auto"/>
                                    <w:bottom w:val="none" w:sz="0" w:space="0" w:color="auto"/>
                                    <w:right w:val="none" w:sz="0" w:space="0" w:color="auto"/>
                                  </w:divBdr>
                                  <w:divsChild>
                                    <w:div w:id="12734028">
                                      <w:marLeft w:val="0"/>
                                      <w:marRight w:val="0"/>
                                      <w:marTop w:val="0"/>
                                      <w:marBottom w:val="0"/>
                                      <w:divBdr>
                                        <w:top w:val="none" w:sz="0" w:space="0" w:color="auto"/>
                                        <w:left w:val="none" w:sz="0" w:space="0" w:color="auto"/>
                                        <w:bottom w:val="none" w:sz="0" w:space="0" w:color="auto"/>
                                        <w:right w:val="none" w:sz="0" w:space="0" w:color="auto"/>
                                      </w:divBdr>
                                      <w:divsChild>
                                        <w:div w:id="12734029">
                                          <w:marLeft w:val="0"/>
                                          <w:marRight w:val="0"/>
                                          <w:marTop w:val="0"/>
                                          <w:marBottom w:val="0"/>
                                          <w:divBdr>
                                            <w:top w:val="none" w:sz="0" w:space="0" w:color="auto"/>
                                            <w:left w:val="none" w:sz="0" w:space="0" w:color="auto"/>
                                            <w:bottom w:val="none" w:sz="0" w:space="0" w:color="auto"/>
                                            <w:right w:val="none" w:sz="0" w:space="0" w:color="auto"/>
                                          </w:divBdr>
                                          <w:divsChild>
                                            <w:div w:id="12734044">
                                              <w:marLeft w:val="0"/>
                                              <w:marRight w:val="0"/>
                                              <w:marTop w:val="0"/>
                                              <w:marBottom w:val="0"/>
                                              <w:divBdr>
                                                <w:top w:val="none" w:sz="0" w:space="0" w:color="auto"/>
                                                <w:left w:val="none" w:sz="0" w:space="0" w:color="auto"/>
                                                <w:bottom w:val="none" w:sz="0" w:space="0" w:color="auto"/>
                                                <w:right w:val="none" w:sz="0" w:space="0" w:color="auto"/>
                                              </w:divBdr>
                                              <w:divsChild>
                                                <w:div w:id="12734088">
                                                  <w:marLeft w:val="0"/>
                                                  <w:marRight w:val="0"/>
                                                  <w:marTop w:val="0"/>
                                                  <w:marBottom w:val="240"/>
                                                  <w:divBdr>
                                                    <w:top w:val="none" w:sz="0" w:space="0" w:color="auto"/>
                                                    <w:left w:val="none" w:sz="0" w:space="0" w:color="auto"/>
                                                    <w:bottom w:val="none" w:sz="0" w:space="0" w:color="auto"/>
                                                    <w:right w:val="none" w:sz="0" w:space="0" w:color="auto"/>
                                                  </w:divBdr>
                                                  <w:divsChild>
                                                    <w:div w:id="12734036">
                                                      <w:marLeft w:val="0"/>
                                                      <w:marRight w:val="0"/>
                                                      <w:marTop w:val="0"/>
                                                      <w:marBottom w:val="0"/>
                                                      <w:divBdr>
                                                        <w:top w:val="none" w:sz="0" w:space="0" w:color="auto"/>
                                                        <w:left w:val="none" w:sz="0" w:space="0" w:color="auto"/>
                                                        <w:bottom w:val="none" w:sz="0" w:space="0" w:color="auto"/>
                                                        <w:right w:val="none" w:sz="0" w:space="0" w:color="auto"/>
                                                      </w:divBdr>
                                                      <w:divsChild>
                                                        <w:div w:id="12734105">
                                                          <w:marLeft w:val="0"/>
                                                          <w:marRight w:val="0"/>
                                                          <w:marTop w:val="0"/>
                                                          <w:marBottom w:val="0"/>
                                                          <w:divBdr>
                                                            <w:top w:val="none" w:sz="0" w:space="0" w:color="auto"/>
                                                            <w:left w:val="none" w:sz="0" w:space="0" w:color="auto"/>
                                                            <w:bottom w:val="none" w:sz="0" w:space="0" w:color="auto"/>
                                                            <w:right w:val="none" w:sz="0" w:space="0" w:color="auto"/>
                                                          </w:divBdr>
                                                        </w:div>
                                                      </w:divsChild>
                                                    </w:div>
                                                    <w:div w:id="12734102">
                                                      <w:marLeft w:val="0"/>
                                                      <w:marRight w:val="0"/>
                                                      <w:marTop w:val="0"/>
                                                      <w:marBottom w:val="0"/>
                                                      <w:divBdr>
                                                        <w:top w:val="none" w:sz="0" w:space="0" w:color="auto"/>
                                                        <w:left w:val="none" w:sz="0" w:space="0" w:color="auto"/>
                                                        <w:bottom w:val="none" w:sz="0" w:space="0" w:color="auto"/>
                                                        <w:right w:val="none" w:sz="0" w:space="0" w:color="auto"/>
                                                      </w:divBdr>
                                                      <w:divsChild>
                                                        <w:div w:id="12734049">
                                                          <w:marLeft w:val="0"/>
                                                          <w:marRight w:val="0"/>
                                                          <w:marTop w:val="0"/>
                                                          <w:marBottom w:val="0"/>
                                                          <w:divBdr>
                                                            <w:top w:val="none" w:sz="0" w:space="0" w:color="auto"/>
                                                            <w:left w:val="none" w:sz="0" w:space="0" w:color="auto"/>
                                                            <w:bottom w:val="none" w:sz="0" w:space="0" w:color="auto"/>
                                                            <w:right w:val="none" w:sz="0" w:space="0" w:color="auto"/>
                                                          </w:divBdr>
                                                        </w:div>
                                                        <w:div w:id="12734058">
                                                          <w:marLeft w:val="0"/>
                                                          <w:marRight w:val="0"/>
                                                          <w:marTop w:val="0"/>
                                                          <w:marBottom w:val="0"/>
                                                          <w:divBdr>
                                                            <w:top w:val="none" w:sz="0" w:space="0" w:color="auto"/>
                                                            <w:left w:val="none" w:sz="0" w:space="0" w:color="auto"/>
                                                            <w:bottom w:val="none" w:sz="0" w:space="0" w:color="auto"/>
                                                            <w:right w:val="none" w:sz="0" w:space="0" w:color="auto"/>
                                                          </w:divBdr>
                                                        </w:div>
                                                        <w:div w:id="12734064">
                                                          <w:marLeft w:val="0"/>
                                                          <w:marRight w:val="0"/>
                                                          <w:marTop w:val="0"/>
                                                          <w:marBottom w:val="0"/>
                                                          <w:divBdr>
                                                            <w:top w:val="none" w:sz="0" w:space="0" w:color="auto"/>
                                                            <w:left w:val="none" w:sz="0" w:space="0" w:color="auto"/>
                                                            <w:bottom w:val="none" w:sz="0" w:space="0" w:color="auto"/>
                                                            <w:right w:val="none" w:sz="0" w:space="0" w:color="auto"/>
                                                          </w:divBdr>
                                                        </w:div>
                                                        <w:div w:id="12734069">
                                                          <w:marLeft w:val="0"/>
                                                          <w:marRight w:val="0"/>
                                                          <w:marTop w:val="0"/>
                                                          <w:marBottom w:val="0"/>
                                                          <w:divBdr>
                                                            <w:top w:val="none" w:sz="0" w:space="0" w:color="auto"/>
                                                            <w:left w:val="none" w:sz="0" w:space="0" w:color="auto"/>
                                                            <w:bottom w:val="none" w:sz="0" w:space="0" w:color="auto"/>
                                                            <w:right w:val="none" w:sz="0" w:space="0" w:color="auto"/>
                                                          </w:divBdr>
                                                        </w:div>
                                                        <w:div w:id="12734073">
                                                          <w:marLeft w:val="0"/>
                                                          <w:marRight w:val="0"/>
                                                          <w:marTop w:val="0"/>
                                                          <w:marBottom w:val="0"/>
                                                          <w:divBdr>
                                                            <w:top w:val="none" w:sz="0" w:space="0" w:color="auto"/>
                                                            <w:left w:val="none" w:sz="0" w:space="0" w:color="auto"/>
                                                            <w:bottom w:val="none" w:sz="0" w:space="0" w:color="auto"/>
                                                            <w:right w:val="none" w:sz="0" w:space="0" w:color="auto"/>
                                                          </w:divBdr>
                                                        </w:div>
                                                        <w:div w:id="12734079">
                                                          <w:marLeft w:val="0"/>
                                                          <w:marRight w:val="0"/>
                                                          <w:marTop w:val="0"/>
                                                          <w:marBottom w:val="0"/>
                                                          <w:divBdr>
                                                            <w:top w:val="none" w:sz="0" w:space="0" w:color="auto"/>
                                                            <w:left w:val="none" w:sz="0" w:space="0" w:color="auto"/>
                                                            <w:bottom w:val="none" w:sz="0" w:space="0" w:color="auto"/>
                                                            <w:right w:val="none" w:sz="0" w:space="0" w:color="auto"/>
                                                          </w:divBdr>
                                                        </w:div>
                                                        <w:div w:id="12734080">
                                                          <w:marLeft w:val="0"/>
                                                          <w:marRight w:val="0"/>
                                                          <w:marTop w:val="0"/>
                                                          <w:marBottom w:val="0"/>
                                                          <w:divBdr>
                                                            <w:top w:val="none" w:sz="0" w:space="0" w:color="auto"/>
                                                            <w:left w:val="none" w:sz="0" w:space="0" w:color="auto"/>
                                                            <w:bottom w:val="none" w:sz="0" w:space="0" w:color="auto"/>
                                                            <w:right w:val="none" w:sz="0" w:space="0" w:color="auto"/>
                                                          </w:divBdr>
                                                        </w:div>
                                                        <w:div w:id="1273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089">
                                          <w:marLeft w:val="0"/>
                                          <w:marRight w:val="0"/>
                                          <w:marTop w:val="0"/>
                                          <w:marBottom w:val="0"/>
                                          <w:divBdr>
                                            <w:top w:val="none" w:sz="0" w:space="0" w:color="auto"/>
                                            <w:left w:val="none" w:sz="0" w:space="0" w:color="auto"/>
                                            <w:bottom w:val="none" w:sz="0" w:space="0" w:color="auto"/>
                                            <w:right w:val="none" w:sz="0" w:space="0" w:color="auto"/>
                                          </w:divBdr>
                                          <w:divsChild>
                                            <w:div w:id="12734100">
                                              <w:marLeft w:val="0"/>
                                              <w:marRight w:val="0"/>
                                              <w:marTop w:val="0"/>
                                              <w:marBottom w:val="0"/>
                                              <w:divBdr>
                                                <w:top w:val="none" w:sz="0" w:space="0" w:color="auto"/>
                                                <w:left w:val="none" w:sz="0" w:space="0" w:color="auto"/>
                                                <w:bottom w:val="none" w:sz="0" w:space="0" w:color="auto"/>
                                                <w:right w:val="none" w:sz="0" w:space="0" w:color="auto"/>
                                              </w:divBdr>
                                              <w:divsChild>
                                                <w:div w:id="12734053">
                                                  <w:marLeft w:val="0"/>
                                                  <w:marRight w:val="0"/>
                                                  <w:marTop w:val="0"/>
                                                  <w:marBottom w:val="240"/>
                                                  <w:divBdr>
                                                    <w:top w:val="none" w:sz="0" w:space="0" w:color="auto"/>
                                                    <w:left w:val="none" w:sz="0" w:space="0" w:color="auto"/>
                                                    <w:bottom w:val="none" w:sz="0" w:space="0" w:color="auto"/>
                                                    <w:right w:val="none" w:sz="0" w:space="0" w:color="auto"/>
                                                  </w:divBdr>
                                                  <w:divsChild>
                                                    <w:div w:id="12734033">
                                                      <w:marLeft w:val="0"/>
                                                      <w:marRight w:val="0"/>
                                                      <w:marTop w:val="0"/>
                                                      <w:marBottom w:val="0"/>
                                                      <w:divBdr>
                                                        <w:top w:val="none" w:sz="0" w:space="0" w:color="auto"/>
                                                        <w:left w:val="none" w:sz="0" w:space="0" w:color="auto"/>
                                                        <w:bottom w:val="none" w:sz="0" w:space="0" w:color="auto"/>
                                                        <w:right w:val="none" w:sz="0" w:space="0" w:color="auto"/>
                                                      </w:divBdr>
                                                      <w:divsChild>
                                                        <w:div w:id="12734042">
                                                          <w:marLeft w:val="0"/>
                                                          <w:marRight w:val="0"/>
                                                          <w:marTop w:val="0"/>
                                                          <w:marBottom w:val="0"/>
                                                          <w:divBdr>
                                                            <w:top w:val="none" w:sz="0" w:space="0" w:color="auto"/>
                                                            <w:left w:val="none" w:sz="0" w:space="0" w:color="auto"/>
                                                            <w:bottom w:val="none" w:sz="0" w:space="0" w:color="auto"/>
                                                            <w:right w:val="none" w:sz="0" w:space="0" w:color="auto"/>
                                                          </w:divBdr>
                                                        </w:div>
                                                        <w:div w:id="12734054">
                                                          <w:marLeft w:val="0"/>
                                                          <w:marRight w:val="0"/>
                                                          <w:marTop w:val="0"/>
                                                          <w:marBottom w:val="0"/>
                                                          <w:divBdr>
                                                            <w:top w:val="none" w:sz="0" w:space="0" w:color="auto"/>
                                                            <w:left w:val="none" w:sz="0" w:space="0" w:color="auto"/>
                                                            <w:bottom w:val="none" w:sz="0" w:space="0" w:color="auto"/>
                                                            <w:right w:val="none" w:sz="0" w:space="0" w:color="auto"/>
                                                          </w:divBdr>
                                                        </w:div>
                                                        <w:div w:id="12734055">
                                                          <w:marLeft w:val="0"/>
                                                          <w:marRight w:val="-240"/>
                                                          <w:marTop w:val="0"/>
                                                          <w:marBottom w:val="0"/>
                                                          <w:divBdr>
                                                            <w:top w:val="none" w:sz="0" w:space="0" w:color="auto"/>
                                                            <w:left w:val="none" w:sz="0" w:space="0" w:color="auto"/>
                                                            <w:bottom w:val="none" w:sz="0" w:space="0" w:color="auto"/>
                                                            <w:right w:val="none" w:sz="0" w:space="0" w:color="auto"/>
                                                          </w:divBdr>
                                                          <w:divsChild>
                                                            <w:div w:id="12734076">
                                                              <w:marLeft w:val="240"/>
                                                              <w:marRight w:val="240"/>
                                                              <w:marTop w:val="0"/>
                                                              <w:marBottom w:val="0"/>
                                                              <w:divBdr>
                                                                <w:top w:val="none" w:sz="0" w:space="0" w:color="auto"/>
                                                                <w:left w:val="none" w:sz="0" w:space="0" w:color="auto"/>
                                                                <w:bottom w:val="none" w:sz="0" w:space="0" w:color="auto"/>
                                                                <w:right w:val="none" w:sz="0" w:space="0" w:color="auto"/>
                                                              </w:divBdr>
                                                            </w:div>
                                                          </w:divsChild>
                                                        </w:div>
                                                        <w:div w:id="12734062">
                                                          <w:marLeft w:val="0"/>
                                                          <w:marRight w:val="0"/>
                                                          <w:marTop w:val="0"/>
                                                          <w:marBottom w:val="0"/>
                                                          <w:divBdr>
                                                            <w:top w:val="none" w:sz="0" w:space="0" w:color="auto"/>
                                                            <w:left w:val="none" w:sz="0" w:space="0" w:color="auto"/>
                                                            <w:bottom w:val="none" w:sz="0" w:space="0" w:color="auto"/>
                                                            <w:right w:val="none" w:sz="0" w:space="0" w:color="auto"/>
                                                          </w:divBdr>
                                                        </w:div>
                                                        <w:div w:id="12734066">
                                                          <w:marLeft w:val="0"/>
                                                          <w:marRight w:val="0"/>
                                                          <w:marTop w:val="0"/>
                                                          <w:marBottom w:val="0"/>
                                                          <w:divBdr>
                                                            <w:top w:val="none" w:sz="0" w:space="0" w:color="auto"/>
                                                            <w:left w:val="none" w:sz="0" w:space="0" w:color="auto"/>
                                                            <w:bottom w:val="none" w:sz="0" w:space="0" w:color="auto"/>
                                                            <w:right w:val="none" w:sz="0" w:space="0" w:color="auto"/>
                                                          </w:divBdr>
                                                        </w:div>
                                                        <w:div w:id="12734084">
                                                          <w:marLeft w:val="0"/>
                                                          <w:marRight w:val="0"/>
                                                          <w:marTop w:val="0"/>
                                                          <w:marBottom w:val="0"/>
                                                          <w:divBdr>
                                                            <w:top w:val="none" w:sz="0" w:space="0" w:color="auto"/>
                                                            <w:left w:val="none" w:sz="0" w:space="0" w:color="auto"/>
                                                            <w:bottom w:val="none" w:sz="0" w:space="0" w:color="auto"/>
                                                            <w:right w:val="none" w:sz="0" w:space="0" w:color="auto"/>
                                                          </w:divBdr>
                                                        </w:div>
                                                        <w:div w:id="12734085">
                                                          <w:marLeft w:val="0"/>
                                                          <w:marRight w:val="0"/>
                                                          <w:marTop w:val="0"/>
                                                          <w:marBottom w:val="0"/>
                                                          <w:divBdr>
                                                            <w:top w:val="none" w:sz="0" w:space="0" w:color="auto"/>
                                                            <w:left w:val="none" w:sz="0" w:space="0" w:color="auto"/>
                                                            <w:bottom w:val="none" w:sz="0" w:space="0" w:color="auto"/>
                                                            <w:right w:val="none" w:sz="0" w:space="0" w:color="auto"/>
                                                          </w:divBdr>
                                                        </w:div>
                                                        <w:div w:id="12734096">
                                                          <w:marLeft w:val="0"/>
                                                          <w:marRight w:val="0"/>
                                                          <w:marTop w:val="0"/>
                                                          <w:marBottom w:val="0"/>
                                                          <w:divBdr>
                                                            <w:top w:val="none" w:sz="0" w:space="0" w:color="auto"/>
                                                            <w:left w:val="none" w:sz="0" w:space="0" w:color="auto"/>
                                                            <w:bottom w:val="none" w:sz="0" w:space="0" w:color="auto"/>
                                                            <w:right w:val="none" w:sz="0" w:space="0" w:color="auto"/>
                                                          </w:divBdr>
                                                        </w:div>
                                                        <w:div w:id="12734107">
                                                          <w:marLeft w:val="0"/>
                                                          <w:marRight w:val="-240"/>
                                                          <w:marTop w:val="0"/>
                                                          <w:marBottom w:val="0"/>
                                                          <w:divBdr>
                                                            <w:top w:val="none" w:sz="0" w:space="0" w:color="auto"/>
                                                            <w:left w:val="none" w:sz="0" w:space="0" w:color="auto"/>
                                                            <w:bottom w:val="none" w:sz="0" w:space="0" w:color="auto"/>
                                                            <w:right w:val="none" w:sz="0" w:space="0" w:color="auto"/>
                                                          </w:divBdr>
                                                          <w:divsChild>
                                                            <w:div w:id="12734046">
                                                              <w:marLeft w:val="240"/>
                                                              <w:marRight w:val="240"/>
                                                              <w:marTop w:val="0"/>
                                                              <w:marBottom w:val="0"/>
                                                              <w:divBdr>
                                                                <w:top w:val="none" w:sz="0" w:space="0" w:color="auto"/>
                                                                <w:left w:val="none" w:sz="0" w:space="0" w:color="auto"/>
                                                                <w:bottom w:val="none" w:sz="0" w:space="0" w:color="auto"/>
                                                                <w:right w:val="none" w:sz="0" w:space="0" w:color="auto"/>
                                                              </w:divBdr>
                                                            </w:div>
                                                          </w:divsChild>
                                                        </w:div>
                                                        <w:div w:id="12734110">
                                                          <w:marLeft w:val="0"/>
                                                          <w:marRight w:val="0"/>
                                                          <w:marTop w:val="0"/>
                                                          <w:marBottom w:val="0"/>
                                                          <w:divBdr>
                                                            <w:top w:val="none" w:sz="0" w:space="0" w:color="auto"/>
                                                            <w:left w:val="none" w:sz="0" w:space="0" w:color="auto"/>
                                                            <w:bottom w:val="none" w:sz="0" w:space="0" w:color="auto"/>
                                                            <w:right w:val="none" w:sz="0" w:space="0" w:color="auto"/>
                                                          </w:divBdr>
                                                        </w:div>
                                                      </w:divsChild>
                                                    </w:div>
                                                    <w:div w:id="12734075">
                                                      <w:marLeft w:val="0"/>
                                                      <w:marRight w:val="0"/>
                                                      <w:marTop w:val="0"/>
                                                      <w:marBottom w:val="0"/>
                                                      <w:divBdr>
                                                        <w:top w:val="none" w:sz="0" w:space="0" w:color="auto"/>
                                                        <w:left w:val="none" w:sz="0" w:space="0" w:color="auto"/>
                                                        <w:bottom w:val="none" w:sz="0" w:space="0" w:color="auto"/>
                                                        <w:right w:val="none" w:sz="0" w:space="0" w:color="auto"/>
                                                      </w:divBdr>
                                                    </w:div>
                                                    <w:div w:id="12734103">
                                                      <w:marLeft w:val="0"/>
                                                      <w:marRight w:val="0"/>
                                                      <w:marTop w:val="0"/>
                                                      <w:marBottom w:val="0"/>
                                                      <w:divBdr>
                                                        <w:top w:val="none" w:sz="0" w:space="0" w:color="auto"/>
                                                        <w:left w:val="none" w:sz="0" w:space="0" w:color="auto"/>
                                                        <w:bottom w:val="none" w:sz="0" w:space="0" w:color="auto"/>
                                                        <w:right w:val="none" w:sz="0" w:space="0" w:color="auto"/>
                                                      </w:divBdr>
                                                      <w:divsChild>
                                                        <w:div w:id="1273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4067">
                                                  <w:marLeft w:val="0"/>
                                                  <w:marRight w:val="0"/>
                                                  <w:marTop w:val="0"/>
                                                  <w:marBottom w:val="240"/>
                                                  <w:divBdr>
                                                    <w:top w:val="none" w:sz="0" w:space="0" w:color="auto"/>
                                                    <w:left w:val="none" w:sz="0" w:space="0" w:color="auto"/>
                                                    <w:bottom w:val="none" w:sz="0" w:space="0" w:color="auto"/>
                                                    <w:right w:val="none" w:sz="0" w:space="0" w:color="auto"/>
                                                  </w:divBdr>
                                                  <w:divsChild>
                                                    <w:div w:id="12734065">
                                                      <w:marLeft w:val="0"/>
                                                      <w:marRight w:val="0"/>
                                                      <w:marTop w:val="0"/>
                                                      <w:marBottom w:val="0"/>
                                                      <w:divBdr>
                                                        <w:top w:val="none" w:sz="0" w:space="0" w:color="auto"/>
                                                        <w:left w:val="none" w:sz="0" w:space="0" w:color="auto"/>
                                                        <w:bottom w:val="none" w:sz="0" w:space="0" w:color="auto"/>
                                                        <w:right w:val="none" w:sz="0" w:space="0" w:color="auto"/>
                                                      </w:divBdr>
                                                      <w:divsChild>
                                                        <w:div w:id="12734040">
                                                          <w:marLeft w:val="0"/>
                                                          <w:marRight w:val="0"/>
                                                          <w:marTop w:val="0"/>
                                                          <w:marBottom w:val="0"/>
                                                          <w:divBdr>
                                                            <w:top w:val="none" w:sz="0" w:space="0" w:color="auto"/>
                                                            <w:left w:val="none" w:sz="0" w:space="0" w:color="auto"/>
                                                            <w:bottom w:val="none" w:sz="0" w:space="0" w:color="auto"/>
                                                            <w:right w:val="none" w:sz="0" w:space="0" w:color="auto"/>
                                                          </w:divBdr>
                                                        </w:div>
                                                      </w:divsChild>
                                                    </w:div>
                                                    <w:div w:id="12734078">
                                                      <w:marLeft w:val="0"/>
                                                      <w:marRight w:val="0"/>
                                                      <w:marTop w:val="0"/>
                                                      <w:marBottom w:val="0"/>
                                                      <w:divBdr>
                                                        <w:top w:val="none" w:sz="0" w:space="0" w:color="auto"/>
                                                        <w:left w:val="none" w:sz="0" w:space="0" w:color="auto"/>
                                                        <w:bottom w:val="none" w:sz="0" w:space="0" w:color="auto"/>
                                                        <w:right w:val="none" w:sz="0" w:space="0" w:color="auto"/>
                                                      </w:divBdr>
                                                    </w:div>
                                                  </w:divsChild>
                                                </w:div>
                                                <w:div w:id="12734090">
                                                  <w:marLeft w:val="0"/>
                                                  <w:marRight w:val="0"/>
                                                  <w:marTop w:val="0"/>
                                                  <w:marBottom w:val="240"/>
                                                  <w:divBdr>
                                                    <w:top w:val="none" w:sz="0" w:space="0" w:color="auto"/>
                                                    <w:left w:val="none" w:sz="0" w:space="0" w:color="auto"/>
                                                    <w:bottom w:val="none" w:sz="0" w:space="0" w:color="auto"/>
                                                    <w:right w:val="none" w:sz="0" w:space="0" w:color="auto"/>
                                                  </w:divBdr>
                                                  <w:divsChild>
                                                    <w:div w:id="12734032">
                                                      <w:marLeft w:val="0"/>
                                                      <w:marRight w:val="0"/>
                                                      <w:marTop w:val="0"/>
                                                      <w:marBottom w:val="0"/>
                                                      <w:divBdr>
                                                        <w:top w:val="none" w:sz="0" w:space="0" w:color="auto"/>
                                                        <w:left w:val="none" w:sz="0" w:space="0" w:color="auto"/>
                                                        <w:bottom w:val="none" w:sz="0" w:space="0" w:color="auto"/>
                                                        <w:right w:val="none" w:sz="0" w:space="0" w:color="auto"/>
                                                      </w:divBdr>
                                                      <w:divsChild>
                                                        <w:div w:id="12734070">
                                                          <w:marLeft w:val="510"/>
                                                          <w:marRight w:val="300"/>
                                                          <w:marTop w:val="0"/>
                                                          <w:marBottom w:val="0"/>
                                                          <w:divBdr>
                                                            <w:top w:val="none" w:sz="0" w:space="0" w:color="auto"/>
                                                            <w:left w:val="none" w:sz="0" w:space="0" w:color="auto"/>
                                                            <w:bottom w:val="none" w:sz="0" w:space="0" w:color="auto"/>
                                                            <w:right w:val="none" w:sz="0" w:space="0" w:color="auto"/>
                                                          </w:divBdr>
                                                          <w:divsChild>
                                                            <w:div w:id="12734057">
                                                              <w:marLeft w:val="0"/>
                                                              <w:marRight w:val="0"/>
                                                              <w:marTop w:val="0"/>
                                                              <w:marBottom w:val="0"/>
                                                              <w:divBdr>
                                                                <w:top w:val="none" w:sz="0" w:space="0" w:color="auto"/>
                                                                <w:left w:val="none" w:sz="0" w:space="0" w:color="auto"/>
                                                                <w:bottom w:val="none" w:sz="0" w:space="0" w:color="auto"/>
                                                                <w:right w:val="none" w:sz="0" w:space="0" w:color="auto"/>
                                                              </w:divBdr>
                                                              <w:divsChild>
                                                                <w:div w:id="12734027">
                                                                  <w:marLeft w:val="0"/>
                                                                  <w:marRight w:val="0"/>
                                                                  <w:marTop w:val="0"/>
                                                                  <w:marBottom w:val="180"/>
                                                                  <w:divBdr>
                                                                    <w:top w:val="none" w:sz="0" w:space="0" w:color="auto"/>
                                                                    <w:left w:val="none" w:sz="0" w:space="0" w:color="auto"/>
                                                                    <w:bottom w:val="none" w:sz="0" w:space="0" w:color="auto"/>
                                                                    <w:right w:val="none" w:sz="0" w:space="0" w:color="auto"/>
                                                                  </w:divBdr>
                                                                  <w:divsChild>
                                                                    <w:div w:id="12734043">
                                                                      <w:marLeft w:val="0"/>
                                                                      <w:marRight w:val="0"/>
                                                                      <w:marTop w:val="0"/>
                                                                      <w:marBottom w:val="0"/>
                                                                      <w:divBdr>
                                                                        <w:top w:val="none" w:sz="0" w:space="0" w:color="auto"/>
                                                                        <w:left w:val="none" w:sz="0" w:space="0" w:color="auto"/>
                                                                        <w:bottom w:val="none" w:sz="0" w:space="0" w:color="auto"/>
                                                                        <w:right w:val="none" w:sz="0" w:space="0" w:color="auto"/>
                                                                      </w:divBdr>
                                                                    </w:div>
                                                                    <w:div w:id="1273404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12734086">
                                                          <w:marLeft w:val="0"/>
                                                          <w:marRight w:val="0"/>
                                                          <w:marTop w:val="0"/>
                                                          <w:marBottom w:val="0"/>
                                                          <w:divBdr>
                                                            <w:top w:val="none" w:sz="0" w:space="0" w:color="auto"/>
                                                            <w:left w:val="none" w:sz="0" w:space="0" w:color="auto"/>
                                                            <w:bottom w:val="none" w:sz="0" w:space="0" w:color="auto"/>
                                                            <w:right w:val="none" w:sz="0" w:space="0" w:color="auto"/>
                                                          </w:divBdr>
                                                        </w:div>
                                                      </w:divsChild>
                                                    </w:div>
                                                    <w:div w:id="12734060">
                                                      <w:marLeft w:val="0"/>
                                                      <w:marRight w:val="0"/>
                                                      <w:marTop w:val="0"/>
                                                      <w:marBottom w:val="0"/>
                                                      <w:divBdr>
                                                        <w:top w:val="none" w:sz="0" w:space="0" w:color="auto"/>
                                                        <w:left w:val="none" w:sz="0" w:space="0" w:color="auto"/>
                                                        <w:bottom w:val="none" w:sz="0" w:space="0" w:color="auto"/>
                                                        <w:right w:val="none" w:sz="0" w:space="0" w:color="auto"/>
                                                      </w:divBdr>
                                                      <w:divsChild>
                                                        <w:div w:id="12734039">
                                                          <w:marLeft w:val="0"/>
                                                          <w:marRight w:val="0"/>
                                                          <w:marTop w:val="0"/>
                                                          <w:marBottom w:val="0"/>
                                                          <w:divBdr>
                                                            <w:top w:val="none" w:sz="0" w:space="0" w:color="auto"/>
                                                            <w:left w:val="none" w:sz="0" w:space="0" w:color="auto"/>
                                                            <w:bottom w:val="none" w:sz="0" w:space="0" w:color="auto"/>
                                                            <w:right w:val="none" w:sz="0" w:space="0" w:color="auto"/>
                                                          </w:divBdr>
                                                        </w:div>
                                                      </w:divsChild>
                                                    </w:div>
                                                    <w:div w:id="12734063">
                                                      <w:marLeft w:val="0"/>
                                                      <w:marRight w:val="0"/>
                                                      <w:marTop w:val="0"/>
                                                      <w:marBottom w:val="0"/>
                                                      <w:divBdr>
                                                        <w:top w:val="none" w:sz="0" w:space="0" w:color="auto"/>
                                                        <w:left w:val="none" w:sz="0" w:space="0" w:color="auto"/>
                                                        <w:bottom w:val="none" w:sz="0" w:space="0" w:color="auto"/>
                                                        <w:right w:val="none" w:sz="0" w:space="0" w:color="auto"/>
                                                      </w:divBdr>
                                                    </w:div>
                                                  </w:divsChild>
                                                </w:div>
                                                <w:div w:id="12734098">
                                                  <w:marLeft w:val="0"/>
                                                  <w:marRight w:val="0"/>
                                                  <w:marTop w:val="0"/>
                                                  <w:marBottom w:val="240"/>
                                                  <w:divBdr>
                                                    <w:top w:val="none" w:sz="0" w:space="0" w:color="auto"/>
                                                    <w:left w:val="none" w:sz="0" w:space="0" w:color="auto"/>
                                                    <w:bottom w:val="none" w:sz="0" w:space="0" w:color="auto"/>
                                                    <w:right w:val="none" w:sz="0" w:space="0" w:color="auto"/>
                                                  </w:divBdr>
                                                  <w:divsChild>
                                                    <w:div w:id="12734068">
                                                      <w:marLeft w:val="0"/>
                                                      <w:marRight w:val="0"/>
                                                      <w:marTop w:val="0"/>
                                                      <w:marBottom w:val="0"/>
                                                      <w:divBdr>
                                                        <w:top w:val="none" w:sz="0" w:space="0" w:color="auto"/>
                                                        <w:left w:val="none" w:sz="0" w:space="0" w:color="auto"/>
                                                        <w:bottom w:val="none" w:sz="0" w:space="0" w:color="auto"/>
                                                        <w:right w:val="none" w:sz="0" w:space="0" w:color="auto"/>
                                                      </w:divBdr>
                                                    </w:div>
                                                    <w:div w:id="1273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34083">
                              <w:marLeft w:val="0"/>
                              <w:marRight w:val="0"/>
                              <w:marTop w:val="240"/>
                              <w:marBottom w:val="525"/>
                              <w:divBdr>
                                <w:top w:val="none" w:sz="0" w:space="0" w:color="auto"/>
                                <w:left w:val="none" w:sz="0" w:space="0" w:color="auto"/>
                                <w:bottom w:val="none" w:sz="0" w:space="0" w:color="auto"/>
                                <w:right w:val="none" w:sz="0" w:space="0" w:color="auto"/>
                              </w:divBdr>
                              <w:divsChild>
                                <w:div w:id="1273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4059">
              <w:marLeft w:val="0"/>
              <w:marRight w:val="0"/>
              <w:marTop w:val="0"/>
              <w:marBottom w:val="0"/>
              <w:divBdr>
                <w:top w:val="single" w:sz="6" w:space="31" w:color="F0C36D"/>
                <w:left w:val="single" w:sz="6" w:space="31" w:color="F0C36D"/>
                <w:bottom w:val="single" w:sz="6" w:space="31" w:color="F0C36D"/>
                <w:right w:val="single" w:sz="6" w:space="31" w:color="F0C36D"/>
              </w:divBdr>
            </w:div>
            <w:div w:id="12734072">
              <w:marLeft w:val="0"/>
              <w:marRight w:val="0"/>
              <w:marTop w:val="0"/>
              <w:marBottom w:val="0"/>
              <w:divBdr>
                <w:top w:val="single" w:sz="6" w:space="31" w:color="F0C36D"/>
                <w:left w:val="single" w:sz="6" w:space="31" w:color="F0C36D"/>
                <w:bottom w:val="single" w:sz="6" w:space="31" w:color="F0C36D"/>
                <w:right w:val="single" w:sz="6" w:space="31" w:color="F0C36D"/>
              </w:divBdr>
            </w:div>
            <w:div w:id="12734082">
              <w:marLeft w:val="0"/>
              <w:marRight w:val="0"/>
              <w:marTop w:val="0"/>
              <w:marBottom w:val="0"/>
              <w:divBdr>
                <w:top w:val="single" w:sz="6" w:space="31" w:color="F0C36D"/>
                <w:left w:val="single" w:sz="6" w:space="31" w:color="F0C36D"/>
                <w:bottom w:val="single" w:sz="6" w:space="31" w:color="F0C36D"/>
                <w:right w:val="single" w:sz="6" w:space="31" w:color="F0C36D"/>
              </w:divBdr>
            </w:div>
            <w:div w:id="12734101">
              <w:marLeft w:val="0"/>
              <w:marRight w:val="0"/>
              <w:marTop w:val="0"/>
              <w:marBottom w:val="0"/>
              <w:divBdr>
                <w:top w:val="single" w:sz="6" w:space="0" w:color="E5E5E5"/>
                <w:left w:val="none" w:sz="0" w:space="0" w:color="auto"/>
                <w:bottom w:val="none" w:sz="0" w:space="0" w:color="auto"/>
                <w:right w:val="none" w:sz="0" w:space="0" w:color="auto"/>
              </w:divBdr>
            </w:div>
            <w:div w:id="12734109">
              <w:marLeft w:val="0"/>
              <w:marRight w:val="0"/>
              <w:marTop w:val="0"/>
              <w:marBottom w:val="0"/>
              <w:divBdr>
                <w:top w:val="single" w:sz="6" w:space="31" w:color="F0C36D"/>
                <w:left w:val="single" w:sz="6" w:space="31" w:color="F0C36D"/>
                <w:bottom w:val="single" w:sz="6" w:space="31" w:color="F0C36D"/>
                <w:right w:val="single" w:sz="6" w:space="31" w:color="F0C36D"/>
              </w:divBdr>
            </w:div>
          </w:divsChild>
        </w:div>
      </w:divsChild>
    </w:div>
    <w:div w:id="1273409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1395</Words>
  <Characters>8237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Seznam zakázaných látek a metod pro rok 2015</dc:title>
  <dc:subject/>
  <dc:creator>Daniela</dc:creator>
  <cp:keywords/>
  <dc:description/>
  <cp:lastModifiedBy>David Opatrný</cp:lastModifiedBy>
  <cp:revision>2</cp:revision>
  <dcterms:created xsi:type="dcterms:W3CDTF">2014-11-28T14:16:00Z</dcterms:created>
  <dcterms:modified xsi:type="dcterms:W3CDTF">2014-11-28T14:16:00Z</dcterms:modified>
</cp:coreProperties>
</file>